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8D" w:rsidRPr="00A1128D" w:rsidRDefault="00A1128D" w:rsidP="00A1128D">
      <w:pPr>
        <w:pStyle w:val="Heading1"/>
        <w:spacing w:before="0" w:after="225" w:line="750" w:lineRule="atLeast"/>
        <w:rPr>
          <w:rFonts w:ascii="Times New Roman" w:hAnsi="Times New Roman" w:cs="Times New Roman"/>
          <w:color w:val="22AC46"/>
          <w:sz w:val="28"/>
          <w:szCs w:val="28"/>
        </w:rPr>
      </w:pPr>
      <w:r w:rsidRPr="00A1128D">
        <w:rPr>
          <w:rFonts w:ascii="Times New Roman" w:hAnsi="Times New Roman" w:cs="Times New Roman"/>
          <w:b/>
          <w:bCs/>
          <w:color w:val="22AC46"/>
          <w:sz w:val="28"/>
          <w:szCs w:val="28"/>
        </w:rPr>
        <w:t>Balance Sheet</w:t>
      </w:r>
    </w:p>
    <w:p w:rsidR="00A1128D" w:rsidRPr="00A1128D" w:rsidRDefault="00A1128D" w:rsidP="00A1128D">
      <w:pPr>
        <w:pStyle w:val="NormalWeb"/>
        <w:spacing w:before="0" w:beforeAutospacing="0" w:after="0" w:afterAutospacing="0" w:line="345" w:lineRule="atLeast"/>
        <w:rPr>
          <w:color w:val="747373"/>
          <w:sz w:val="28"/>
          <w:szCs w:val="28"/>
        </w:rPr>
      </w:pPr>
      <w:r w:rsidRPr="00A1128D">
        <w:rPr>
          <w:color w:val="747373"/>
          <w:sz w:val="28"/>
          <w:szCs w:val="28"/>
        </w:rPr>
        <w:t>The balance sheet, also called the statement of financial position,</w:t>
      </w:r>
      <w:r w:rsidRPr="00A1128D">
        <w:rPr>
          <w:rStyle w:val="apple-converted-space"/>
          <w:color w:val="747373"/>
          <w:sz w:val="28"/>
          <w:szCs w:val="28"/>
        </w:rPr>
        <w:t> </w:t>
      </w:r>
      <w:r w:rsidRPr="00A1128D">
        <w:rPr>
          <w:color w:val="747373"/>
          <w:sz w:val="28"/>
          <w:szCs w:val="28"/>
        </w:rPr>
        <w:t>prepared during the</w:t>
      </w:r>
      <w:r w:rsidRPr="00A1128D">
        <w:rPr>
          <w:rStyle w:val="apple-converted-space"/>
          <w:color w:val="747373"/>
          <w:sz w:val="28"/>
          <w:szCs w:val="28"/>
        </w:rPr>
        <w:t> </w:t>
      </w:r>
      <w:hyperlink r:id="rId6" w:history="1">
        <w:r w:rsidRPr="00A1128D">
          <w:rPr>
            <w:rStyle w:val="Hyperlink"/>
            <w:color w:val="22AC46"/>
            <w:sz w:val="28"/>
            <w:szCs w:val="28"/>
            <w:u w:val="none"/>
            <w:bdr w:val="none" w:sz="0" w:space="0" w:color="auto" w:frame="1"/>
          </w:rPr>
          <w:t>accounting cycle</w:t>
        </w:r>
      </w:hyperlink>
      <w:r w:rsidRPr="00A1128D">
        <w:rPr>
          <w:color w:val="747373"/>
          <w:sz w:val="28"/>
          <w:szCs w:val="28"/>
        </w:rPr>
        <w:t xml:space="preserve">. It reports a company's </w:t>
      </w:r>
      <w:r w:rsidRPr="000307FD">
        <w:rPr>
          <w:color w:val="FF0000"/>
          <w:sz w:val="28"/>
          <w:szCs w:val="28"/>
        </w:rPr>
        <w:t>assets, liabilities, and equity</w:t>
      </w:r>
      <w:r w:rsidRPr="00A1128D">
        <w:rPr>
          <w:color w:val="747373"/>
          <w:sz w:val="28"/>
          <w:szCs w:val="28"/>
        </w:rPr>
        <w:t xml:space="preserve"> at a single moment in time. You can think of it like a snapshot of what the business looked like on that day in time.</w:t>
      </w:r>
    </w:p>
    <w:p w:rsidR="00A1128D" w:rsidRPr="00A1128D" w:rsidRDefault="00A1128D" w:rsidP="00A1128D">
      <w:pPr>
        <w:pStyle w:val="NormalWeb"/>
        <w:spacing w:before="0" w:beforeAutospacing="0" w:after="300" w:afterAutospacing="0" w:line="345" w:lineRule="atLeast"/>
        <w:rPr>
          <w:color w:val="747373"/>
          <w:sz w:val="28"/>
          <w:szCs w:val="28"/>
        </w:rPr>
      </w:pPr>
      <w:r w:rsidRPr="000307FD">
        <w:rPr>
          <w:color w:val="FF0000"/>
          <w:sz w:val="28"/>
          <w:szCs w:val="28"/>
        </w:rPr>
        <w:t>The balance sheet is essentially a picture a company's recourses, debts, and ownership on a given day</w:t>
      </w:r>
      <w:r w:rsidRPr="00A1128D">
        <w:rPr>
          <w:color w:val="747373"/>
          <w:sz w:val="28"/>
          <w:szCs w:val="28"/>
        </w:rPr>
        <w:t xml:space="preserve">. </w:t>
      </w:r>
    </w:p>
    <w:p w:rsidR="00A1128D" w:rsidRPr="000307FD" w:rsidRDefault="00A1128D" w:rsidP="00A1128D">
      <w:pPr>
        <w:pStyle w:val="NormalWeb"/>
        <w:spacing w:before="0" w:beforeAutospacing="0" w:after="0" w:afterAutospacing="0" w:line="345" w:lineRule="atLeast"/>
        <w:rPr>
          <w:color w:val="FF0000"/>
          <w:sz w:val="28"/>
          <w:szCs w:val="28"/>
        </w:rPr>
      </w:pPr>
      <w:r w:rsidRPr="00A1128D">
        <w:rPr>
          <w:color w:val="747373"/>
          <w:sz w:val="28"/>
          <w:szCs w:val="28"/>
        </w:rPr>
        <w:t>The balance sheet is basically a report version of the</w:t>
      </w:r>
      <w:r w:rsidRPr="00A1128D">
        <w:rPr>
          <w:rStyle w:val="apple-converted-space"/>
          <w:color w:val="747373"/>
          <w:sz w:val="28"/>
          <w:szCs w:val="28"/>
        </w:rPr>
        <w:t> </w:t>
      </w:r>
      <w:hyperlink r:id="rId7" w:history="1">
        <w:r w:rsidRPr="00A1128D">
          <w:rPr>
            <w:rStyle w:val="Hyperlink"/>
            <w:color w:val="22AC46"/>
            <w:sz w:val="28"/>
            <w:szCs w:val="28"/>
            <w:u w:val="none"/>
            <w:bdr w:val="none" w:sz="0" w:space="0" w:color="auto" w:frame="1"/>
          </w:rPr>
          <w:t>accounting equation</w:t>
        </w:r>
      </w:hyperlink>
      <w:r w:rsidRPr="00A1128D">
        <w:rPr>
          <w:rStyle w:val="apple-converted-space"/>
          <w:color w:val="747373"/>
          <w:sz w:val="28"/>
          <w:szCs w:val="28"/>
        </w:rPr>
        <w:t> </w:t>
      </w:r>
      <w:r w:rsidRPr="00A1128D">
        <w:rPr>
          <w:color w:val="747373"/>
          <w:sz w:val="28"/>
          <w:szCs w:val="28"/>
        </w:rPr>
        <w:t>also called the</w:t>
      </w:r>
      <w:r w:rsidRPr="00A1128D">
        <w:rPr>
          <w:rStyle w:val="apple-converted-space"/>
          <w:color w:val="747373"/>
          <w:sz w:val="28"/>
          <w:szCs w:val="28"/>
        </w:rPr>
        <w:t> </w:t>
      </w:r>
      <w:hyperlink r:id="rId8" w:history="1">
        <w:r w:rsidRPr="00A1128D">
          <w:rPr>
            <w:rStyle w:val="Hyperlink"/>
            <w:color w:val="22AC46"/>
            <w:sz w:val="28"/>
            <w:szCs w:val="28"/>
            <w:u w:val="none"/>
            <w:bdr w:val="none" w:sz="0" w:space="0" w:color="auto" w:frame="1"/>
          </w:rPr>
          <w:t>balance sheet equation</w:t>
        </w:r>
      </w:hyperlink>
      <w:r w:rsidRPr="00A1128D">
        <w:rPr>
          <w:rStyle w:val="apple-converted-space"/>
          <w:color w:val="747373"/>
          <w:sz w:val="28"/>
          <w:szCs w:val="28"/>
        </w:rPr>
        <w:t> </w:t>
      </w:r>
      <w:r w:rsidRPr="000307FD">
        <w:rPr>
          <w:color w:val="FF0000"/>
          <w:sz w:val="28"/>
          <w:szCs w:val="28"/>
        </w:rPr>
        <w:t>where assets always equation liabilities plus shareholder's equity.</w:t>
      </w:r>
    </w:p>
    <w:p w:rsidR="00A1128D" w:rsidRPr="00A1128D" w:rsidRDefault="00A1128D" w:rsidP="00A1128D">
      <w:pPr>
        <w:pStyle w:val="Heading2"/>
        <w:spacing w:before="0" w:beforeAutospacing="0" w:after="225" w:afterAutospacing="0" w:line="375" w:lineRule="atLeast"/>
        <w:rPr>
          <w:b w:val="0"/>
          <w:bCs w:val="0"/>
          <w:color w:val="22AC46"/>
          <w:sz w:val="28"/>
          <w:szCs w:val="28"/>
        </w:rPr>
      </w:pPr>
    </w:p>
    <w:p w:rsidR="00A1128D" w:rsidRPr="00A1128D" w:rsidRDefault="00A1128D" w:rsidP="00A1128D">
      <w:pPr>
        <w:pStyle w:val="Heading2"/>
        <w:spacing w:before="0" w:beforeAutospacing="0" w:after="225" w:afterAutospacing="0" w:line="375" w:lineRule="atLeast"/>
        <w:rPr>
          <w:b w:val="0"/>
          <w:bCs w:val="0"/>
          <w:color w:val="22AC46"/>
          <w:sz w:val="28"/>
          <w:szCs w:val="28"/>
        </w:rPr>
      </w:pPr>
      <w:r w:rsidRPr="00A1128D">
        <w:rPr>
          <w:b w:val="0"/>
          <w:bCs w:val="0"/>
          <w:color w:val="22AC46"/>
          <w:sz w:val="28"/>
          <w:szCs w:val="28"/>
        </w:rPr>
        <w:t>Format</w:t>
      </w:r>
    </w:p>
    <w:p w:rsidR="00A1128D" w:rsidRPr="00A1128D" w:rsidRDefault="00A1128D" w:rsidP="00A1128D">
      <w:pPr>
        <w:pStyle w:val="NormalWeb"/>
        <w:spacing w:before="0" w:beforeAutospacing="0" w:after="0" w:afterAutospacing="0" w:line="345" w:lineRule="atLeast"/>
        <w:rPr>
          <w:color w:val="747373"/>
          <w:sz w:val="28"/>
          <w:szCs w:val="28"/>
        </w:rPr>
      </w:pPr>
      <w:r w:rsidRPr="00A1128D">
        <w:rPr>
          <w:color w:val="747373"/>
          <w:sz w:val="28"/>
          <w:szCs w:val="28"/>
        </w:rPr>
        <w:t xml:space="preserve">This statement can be reported in </w:t>
      </w:r>
      <w:r w:rsidRPr="000307FD">
        <w:rPr>
          <w:color w:val="FF0000"/>
          <w:sz w:val="28"/>
          <w:szCs w:val="28"/>
        </w:rPr>
        <w:t>two</w:t>
      </w:r>
      <w:r w:rsidRPr="00A1128D">
        <w:rPr>
          <w:color w:val="747373"/>
          <w:sz w:val="28"/>
          <w:szCs w:val="28"/>
        </w:rPr>
        <w:t xml:space="preserve"> different formats: </w:t>
      </w:r>
      <w:r w:rsidRPr="000307FD">
        <w:rPr>
          <w:color w:val="FF0000"/>
          <w:sz w:val="28"/>
          <w:szCs w:val="28"/>
        </w:rPr>
        <w:t>account form and report form</w:t>
      </w:r>
      <w:r w:rsidRPr="00A1128D">
        <w:rPr>
          <w:color w:val="747373"/>
          <w:sz w:val="28"/>
          <w:szCs w:val="28"/>
        </w:rPr>
        <w:t xml:space="preserve">. The account form consists of </w:t>
      </w:r>
      <w:r w:rsidRPr="000307FD">
        <w:rPr>
          <w:color w:val="FF0000"/>
          <w:sz w:val="28"/>
          <w:szCs w:val="28"/>
        </w:rPr>
        <w:t xml:space="preserve">two columns </w:t>
      </w:r>
      <w:r w:rsidRPr="00A1128D">
        <w:rPr>
          <w:color w:val="747373"/>
          <w:sz w:val="28"/>
          <w:szCs w:val="28"/>
        </w:rPr>
        <w:t xml:space="preserve">displaying assets on the </w:t>
      </w:r>
      <w:r w:rsidRPr="000307FD">
        <w:rPr>
          <w:color w:val="FF0000"/>
          <w:sz w:val="28"/>
          <w:szCs w:val="28"/>
        </w:rPr>
        <w:t>left</w:t>
      </w:r>
      <w:r w:rsidRPr="00A1128D">
        <w:rPr>
          <w:color w:val="747373"/>
          <w:sz w:val="28"/>
          <w:szCs w:val="28"/>
        </w:rPr>
        <w:t xml:space="preserve"> column of the report and liabilities and equity on the </w:t>
      </w:r>
      <w:r w:rsidRPr="000307FD">
        <w:rPr>
          <w:color w:val="FF0000"/>
          <w:sz w:val="28"/>
          <w:szCs w:val="28"/>
        </w:rPr>
        <w:t>right</w:t>
      </w:r>
      <w:r w:rsidRPr="00A1128D">
        <w:rPr>
          <w:color w:val="747373"/>
          <w:sz w:val="28"/>
          <w:szCs w:val="28"/>
        </w:rPr>
        <w:t xml:space="preserve"> column. </w:t>
      </w:r>
    </w:p>
    <w:p w:rsidR="00A1128D" w:rsidRPr="000307FD" w:rsidRDefault="00A1128D" w:rsidP="00A1128D">
      <w:pPr>
        <w:pStyle w:val="NormalWeb"/>
        <w:spacing w:before="0" w:beforeAutospacing="0" w:after="300" w:afterAutospacing="0" w:line="345" w:lineRule="atLeast"/>
        <w:rPr>
          <w:color w:val="FF0000"/>
          <w:sz w:val="28"/>
          <w:szCs w:val="28"/>
        </w:rPr>
      </w:pPr>
      <w:r w:rsidRPr="00A1128D">
        <w:rPr>
          <w:color w:val="747373"/>
          <w:sz w:val="28"/>
          <w:szCs w:val="28"/>
        </w:rPr>
        <w:t xml:space="preserve">The report form, on the other hand, only has </w:t>
      </w:r>
      <w:r w:rsidRPr="000307FD">
        <w:rPr>
          <w:color w:val="FF0000"/>
          <w:sz w:val="28"/>
          <w:szCs w:val="28"/>
        </w:rPr>
        <w:t>one</w:t>
      </w:r>
      <w:r w:rsidRPr="00A1128D">
        <w:rPr>
          <w:color w:val="747373"/>
          <w:sz w:val="28"/>
          <w:szCs w:val="28"/>
        </w:rPr>
        <w:t xml:space="preserve"> column. This form is more of a traditional report that is issued by companies. </w:t>
      </w:r>
      <w:r w:rsidRPr="000307FD">
        <w:rPr>
          <w:color w:val="FF0000"/>
          <w:sz w:val="28"/>
          <w:szCs w:val="28"/>
        </w:rPr>
        <w:t>Assets are always present first followed by liabilities and equity.</w:t>
      </w:r>
    </w:p>
    <w:p w:rsidR="00A1128D" w:rsidRPr="00A1128D" w:rsidRDefault="00A1128D" w:rsidP="00A1128D">
      <w:pPr>
        <w:pStyle w:val="NormalWeb"/>
        <w:spacing w:before="0" w:beforeAutospacing="0" w:after="300" w:afterAutospacing="0" w:line="345" w:lineRule="atLeast"/>
        <w:rPr>
          <w:color w:val="747373"/>
          <w:sz w:val="28"/>
          <w:szCs w:val="28"/>
        </w:rPr>
      </w:pPr>
      <w:r w:rsidRPr="00A1128D">
        <w:rPr>
          <w:color w:val="747373"/>
          <w:sz w:val="28"/>
          <w:szCs w:val="28"/>
        </w:rPr>
        <w:t xml:space="preserve">In both formats, </w:t>
      </w:r>
      <w:r w:rsidRPr="000307FD">
        <w:rPr>
          <w:color w:val="FF0000"/>
          <w:sz w:val="28"/>
          <w:szCs w:val="28"/>
        </w:rPr>
        <w:t>assets are categorized into current and long-term assets</w:t>
      </w:r>
      <w:r w:rsidRPr="00A1128D">
        <w:rPr>
          <w:color w:val="747373"/>
          <w:sz w:val="28"/>
          <w:szCs w:val="28"/>
        </w:rPr>
        <w:t xml:space="preserve">. Current assets consist of </w:t>
      </w:r>
      <w:r w:rsidRPr="000307FD">
        <w:rPr>
          <w:color w:val="FF0000"/>
          <w:sz w:val="28"/>
          <w:szCs w:val="28"/>
        </w:rPr>
        <w:t>resources that will be used in the current year</w:t>
      </w:r>
      <w:r w:rsidRPr="00A1128D">
        <w:rPr>
          <w:color w:val="747373"/>
          <w:sz w:val="28"/>
          <w:szCs w:val="28"/>
        </w:rPr>
        <w:t xml:space="preserve">, while long-term assets are resources lasting longer than </w:t>
      </w:r>
      <w:r w:rsidRPr="000307FD">
        <w:rPr>
          <w:color w:val="FF0000"/>
          <w:sz w:val="28"/>
          <w:szCs w:val="28"/>
        </w:rPr>
        <w:t>one</w:t>
      </w:r>
      <w:r w:rsidRPr="00A1128D">
        <w:rPr>
          <w:color w:val="747373"/>
          <w:sz w:val="28"/>
          <w:szCs w:val="28"/>
        </w:rPr>
        <w:t xml:space="preserve"> year.</w:t>
      </w:r>
    </w:p>
    <w:p w:rsidR="00A1128D" w:rsidRPr="000307FD" w:rsidRDefault="00A1128D" w:rsidP="00A1128D">
      <w:pPr>
        <w:pStyle w:val="NormalWeb"/>
        <w:spacing w:before="0" w:beforeAutospacing="0" w:after="300" w:afterAutospacing="0" w:line="345" w:lineRule="atLeast"/>
        <w:rPr>
          <w:color w:val="FF0000"/>
          <w:sz w:val="28"/>
          <w:szCs w:val="28"/>
        </w:rPr>
      </w:pPr>
      <w:r w:rsidRPr="000307FD">
        <w:rPr>
          <w:color w:val="FF0000"/>
          <w:sz w:val="28"/>
          <w:szCs w:val="28"/>
        </w:rPr>
        <w:t>Liabilities are also separated into current and long-term categories.</w:t>
      </w:r>
    </w:p>
    <w:p w:rsidR="00A1128D" w:rsidRPr="00A1128D" w:rsidRDefault="00A1128D" w:rsidP="00A1128D">
      <w:pPr>
        <w:pStyle w:val="NormalWeb"/>
        <w:spacing w:before="0" w:beforeAutospacing="0" w:after="300" w:afterAutospacing="0" w:line="345" w:lineRule="atLeast"/>
        <w:rPr>
          <w:color w:val="747373"/>
          <w:sz w:val="28"/>
          <w:szCs w:val="28"/>
        </w:rPr>
      </w:pPr>
      <w:r w:rsidRPr="00A1128D">
        <w:rPr>
          <w:color w:val="747373"/>
          <w:sz w:val="28"/>
          <w:szCs w:val="28"/>
        </w:rPr>
        <w:t>Let's look at each of the balance sheet accounts and how they are reported.</w:t>
      </w:r>
    </w:p>
    <w:p w:rsidR="00A1128D" w:rsidRPr="00A1128D" w:rsidRDefault="00A1128D" w:rsidP="00A1128D">
      <w:pPr>
        <w:pStyle w:val="Heading3"/>
        <w:spacing w:before="0" w:beforeAutospacing="0" w:after="225" w:afterAutospacing="0" w:line="375" w:lineRule="atLeast"/>
        <w:rPr>
          <w:b w:val="0"/>
          <w:bCs w:val="0"/>
          <w:color w:val="22AC46"/>
          <w:sz w:val="28"/>
          <w:szCs w:val="28"/>
        </w:rPr>
      </w:pPr>
      <w:r w:rsidRPr="00A1128D">
        <w:rPr>
          <w:b w:val="0"/>
          <w:bCs w:val="0"/>
          <w:color w:val="22AC46"/>
          <w:sz w:val="28"/>
          <w:szCs w:val="28"/>
        </w:rPr>
        <w:t>Asset Section</w:t>
      </w:r>
    </w:p>
    <w:p w:rsidR="000307FD" w:rsidRDefault="00A1128D" w:rsidP="00A1128D">
      <w:pPr>
        <w:pStyle w:val="NormalWeb"/>
        <w:spacing w:before="0" w:beforeAutospacing="0" w:after="300" w:afterAutospacing="0" w:line="345" w:lineRule="atLeast"/>
        <w:rPr>
          <w:color w:val="747373"/>
          <w:sz w:val="28"/>
          <w:szCs w:val="28"/>
        </w:rPr>
      </w:pPr>
      <w:r w:rsidRPr="00A1128D">
        <w:rPr>
          <w:color w:val="747373"/>
          <w:sz w:val="28"/>
          <w:szCs w:val="28"/>
        </w:rPr>
        <w:t xml:space="preserve">Similar to the accounting equation, assets are always listed first. </w:t>
      </w:r>
      <w:r w:rsidRPr="000307FD">
        <w:rPr>
          <w:color w:val="FF0000"/>
          <w:sz w:val="28"/>
          <w:szCs w:val="28"/>
        </w:rPr>
        <w:t>The asset section is organized from current to non-current</w:t>
      </w:r>
      <w:r w:rsidRPr="00A1128D">
        <w:rPr>
          <w:color w:val="747373"/>
          <w:sz w:val="28"/>
          <w:szCs w:val="28"/>
        </w:rPr>
        <w:t xml:space="preserve"> and broken down into two or three </w:t>
      </w:r>
      <w:r w:rsidRPr="000307FD">
        <w:rPr>
          <w:color w:val="FF0000"/>
          <w:sz w:val="28"/>
          <w:szCs w:val="28"/>
        </w:rPr>
        <w:t>subcategories</w:t>
      </w:r>
      <w:r w:rsidRPr="00A1128D">
        <w:rPr>
          <w:color w:val="747373"/>
          <w:sz w:val="28"/>
          <w:szCs w:val="28"/>
        </w:rPr>
        <w:t xml:space="preserve">. This structure helps investors and creditors see what assets the company is investing in, being sold, and remain unchanged. It also helps with financial ratio analysis. </w:t>
      </w:r>
    </w:p>
    <w:p w:rsidR="00A1128D" w:rsidRPr="00A1128D" w:rsidRDefault="00A1128D" w:rsidP="00A1128D">
      <w:pPr>
        <w:pStyle w:val="NormalWeb"/>
        <w:spacing w:before="0" w:beforeAutospacing="0" w:after="300" w:afterAutospacing="0" w:line="345" w:lineRule="atLeast"/>
        <w:rPr>
          <w:color w:val="747373"/>
          <w:sz w:val="28"/>
          <w:szCs w:val="28"/>
        </w:rPr>
      </w:pPr>
      <w:r w:rsidRPr="00A1128D">
        <w:rPr>
          <w:color w:val="747373"/>
          <w:sz w:val="28"/>
          <w:szCs w:val="28"/>
        </w:rPr>
        <w:lastRenderedPageBreak/>
        <w:t xml:space="preserve">The first subcategory lists the current assets in order of their </w:t>
      </w:r>
      <w:r w:rsidRPr="000307FD">
        <w:rPr>
          <w:color w:val="FF0000"/>
          <w:sz w:val="28"/>
          <w:szCs w:val="28"/>
        </w:rPr>
        <w:t>liquidity</w:t>
      </w:r>
      <w:r w:rsidRPr="00A1128D">
        <w:rPr>
          <w:color w:val="747373"/>
          <w:sz w:val="28"/>
          <w:szCs w:val="28"/>
        </w:rPr>
        <w:t xml:space="preserve">. Here’s a list of the most common accounts in the </w:t>
      </w:r>
      <w:r w:rsidRPr="000307FD">
        <w:rPr>
          <w:color w:val="FF0000"/>
          <w:sz w:val="28"/>
          <w:szCs w:val="28"/>
        </w:rPr>
        <w:t>current</w:t>
      </w:r>
      <w:r w:rsidRPr="00A1128D">
        <w:rPr>
          <w:color w:val="747373"/>
          <w:sz w:val="28"/>
          <w:szCs w:val="28"/>
        </w:rPr>
        <w:t xml:space="preserve"> section:</w:t>
      </w:r>
    </w:p>
    <w:p w:rsidR="00A1128D" w:rsidRPr="000307FD" w:rsidRDefault="00A1128D" w:rsidP="00A1128D">
      <w:pPr>
        <w:numPr>
          <w:ilvl w:val="0"/>
          <w:numId w:val="1"/>
        </w:numPr>
        <w:spacing w:line="300" w:lineRule="atLeast"/>
        <w:ind w:left="0"/>
        <w:rPr>
          <w:color w:val="FF0000"/>
          <w:sz w:val="28"/>
          <w:szCs w:val="28"/>
        </w:rPr>
      </w:pPr>
      <w:r w:rsidRPr="000307FD">
        <w:rPr>
          <w:rStyle w:val="bold"/>
          <w:rFonts w:eastAsiaTheme="majorEastAsia"/>
          <w:b/>
          <w:bCs/>
          <w:color w:val="FF0000"/>
          <w:sz w:val="28"/>
          <w:szCs w:val="28"/>
          <w:bdr w:val="none" w:sz="0" w:space="0" w:color="auto" w:frame="1"/>
        </w:rPr>
        <w:t>Current</w:t>
      </w:r>
    </w:p>
    <w:p w:rsidR="00A1128D" w:rsidRPr="000307FD" w:rsidRDefault="00A1128D" w:rsidP="00A1128D">
      <w:pPr>
        <w:numPr>
          <w:ilvl w:val="0"/>
          <w:numId w:val="1"/>
        </w:numPr>
        <w:spacing w:line="300" w:lineRule="atLeast"/>
        <w:ind w:left="0"/>
        <w:rPr>
          <w:color w:val="FF0000"/>
          <w:sz w:val="28"/>
          <w:szCs w:val="28"/>
        </w:rPr>
      </w:pPr>
      <w:r w:rsidRPr="000307FD">
        <w:rPr>
          <w:color w:val="FF0000"/>
          <w:sz w:val="28"/>
          <w:szCs w:val="28"/>
        </w:rPr>
        <w:t>Cash</w:t>
      </w:r>
    </w:p>
    <w:p w:rsidR="00A1128D" w:rsidRPr="000307FD" w:rsidRDefault="00A1128D" w:rsidP="00A1128D">
      <w:pPr>
        <w:numPr>
          <w:ilvl w:val="0"/>
          <w:numId w:val="1"/>
        </w:numPr>
        <w:spacing w:line="300" w:lineRule="atLeast"/>
        <w:ind w:left="0"/>
        <w:rPr>
          <w:color w:val="FF0000"/>
          <w:sz w:val="28"/>
          <w:szCs w:val="28"/>
        </w:rPr>
      </w:pPr>
      <w:r w:rsidRPr="000307FD">
        <w:rPr>
          <w:color w:val="FF0000"/>
          <w:sz w:val="28"/>
          <w:szCs w:val="28"/>
        </w:rPr>
        <w:t>Accounts Receivable</w:t>
      </w:r>
    </w:p>
    <w:p w:rsidR="00A1128D" w:rsidRPr="000307FD" w:rsidRDefault="00A1128D" w:rsidP="00A1128D">
      <w:pPr>
        <w:numPr>
          <w:ilvl w:val="0"/>
          <w:numId w:val="1"/>
        </w:numPr>
        <w:spacing w:line="300" w:lineRule="atLeast"/>
        <w:ind w:left="0"/>
        <w:rPr>
          <w:color w:val="FF0000"/>
          <w:sz w:val="28"/>
          <w:szCs w:val="28"/>
        </w:rPr>
      </w:pPr>
      <w:r w:rsidRPr="000307FD">
        <w:rPr>
          <w:color w:val="FF0000"/>
          <w:sz w:val="28"/>
          <w:szCs w:val="28"/>
        </w:rPr>
        <w:t>Prepaid Expenses</w:t>
      </w:r>
    </w:p>
    <w:p w:rsidR="00A1128D" w:rsidRPr="000307FD" w:rsidRDefault="00A1128D" w:rsidP="00A1128D">
      <w:pPr>
        <w:numPr>
          <w:ilvl w:val="0"/>
          <w:numId w:val="1"/>
        </w:numPr>
        <w:spacing w:line="300" w:lineRule="atLeast"/>
        <w:ind w:left="0"/>
        <w:rPr>
          <w:color w:val="FF0000"/>
          <w:sz w:val="28"/>
          <w:szCs w:val="28"/>
        </w:rPr>
      </w:pPr>
      <w:r w:rsidRPr="000307FD">
        <w:rPr>
          <w:color w:val="FF0000"/>
          <w:sz w:val="28"/>
          <w:szCs w:val="28"/>
        </w:rPr>
        <w:t>Inventory</w:t>
      </w:r>
    </w:p>
    <w:p w:rsidR="00A1128D" w:rsidRDefault="00A1128D" w:rsidP="00A1128D">
      <w:pPr>
        <w:numPr>
          <w:ilvl w:val="0"/>
          <w:numId w:val="1"/>
        </w:numPr>
        <w:spacing w:line="300" w:lineRule="atLeast"/>
        <w:ind w:left="0"/>
        <w:rPr>
          <w:color w:val="FF0000"/>
          <w:sz w:val="28"/>
          <w:szCs w:val="28"/>
        </w:rPr>
      </w:pPr>
      <w:r w:rsidRPr="000307FD">
        <w:rPr>
          <w:color w:val="FF0000"/>
          <w:sz w:val="28"/>
          <w:szCs w:val="28"/>
        </w:rPr>
        <w:t>Due from Affiliates</w:t>
      </w:r>
    </w:p>
    <w:p w:rsidR="000307FD" w:rsidRPr="000307FD" w:rsidRDefault="000307FD" w:rsidP="000307FD">
      <w:pPr>
        <w:spacing w:line="300" w:lineRule="atLeast"/>
        <w:rPr>
          <w:color w:val="FF0000"/>
          <w:sz w:val="28"/>
          <w:szCs w:val="28"/>
        </w:rPr>
      </w:pPr>
    </w:p>
    <w:p w:rsidR="00A1128D" w:rsidRPr="00A1128D" w:rsidRDefault="00A1128D" w:rsidP="00A1128D">
      <w:pPr>
        <w:pStyle w:val="NormalWeb"/>
        <w:spacing w:before="0" w:beforeAutospacing="0" w:after="300" w:afterAutospacing="0" w:line="345" w:lineRule="atLeast"/>
        <w:rPr>
          <w:color w:val="747373"/>
          <w:sz w:val="28"/>
          <w:szCs w:val="28"/>
        </w:rPr>
      </w:pPr>
      <w:r w:rsidRPr="00A1128D">
        <w:rPr>
          <w:color w:val="747373"/>
          <w:sz w:val="28"/>
          <w:szCs w:val="28"/>
        </w:rPr>
        <w:t xml:space="preserve">The </w:t>
      </w:r>
      <w:r w:rsidRPr="000307FD">
        <w:rPr>
          <w:color w:val="FF0000"/>
          <w:sz w:val="28"/>
          <w:szCs w:val="28"/>
        </w:rPr>
        <w:t>second</w:t>
      </w:r>
      <w:r w:rsidRPr="00A1128D">
        <w:rPr>
          <w:color w:val="747373"/>
          <w:sz w:val="28"/>
          <w:szCs w:val="28"/>
        </w:rPr>
        <w:t xml:space="preserve"> subcategory lists the long-term assets. This section is slightly different than the current section because many long-term assets are </w:t>
      </w:r>
      <w:r w:rsidRPr="000307FD">
        <w:rPr>
          <w:color w:val="FF0000"/>
          <w:sz w:val="28"/>
          <w:szCs w:val="28"/>
        </w:rPr>
        <w:t>depreciated</w:t>
      </w:r>
      <w:r w:rsidRPr="00A1128D">
        <w:rPr>
          <w:color w:val="747373"/>
          <w:sz w:val="28"/>
          <w:szCs w:val="28"/>
        </w:rPr>
        <w:t xml:space="preserve"> over time. Thus, the assets are typically listed with a total accumulated depreciation amount subtracted from them. Here’s a list of the most common long-term accounts in this section:</w:t>
      </w:r>
    </w:p>
    <w:p w:rsidR="00A1128D" w:rsidRPr="008642A3" w:rsidRDefault="00A1128D" w:rsidP="00A1128D">
      <w:pPr>
        <w:numPr>
          <w:ilvl w:val="0"/>
          <w:numId w:val="2"/>
        </w:numPr>
        <w:spacing w:line="300" w:lineRule="atLeast"/>
        <w:ind w:left="0"/>
        <w:rPr>
          <w:b/>
          <w:color w:val="FF0000"/>
          <w:sz w:val="28"/>
          <w:szCs w:val="28"/>
        </w:rPr>
      </w:pPr>
      <w:r w:rsidRPr="008642A3">
        <w:rPr>
          <w:rStyle w:val="bold"/>
          <w:rFonts w:eastAsiaTheme="majorEastAsia"/>
          <w:b/>
          <w:bCs/>
          <w:color w:val="FF0000"/>
          <w:sz w:val="28"/>
          <w:szCs w:val="28"/>
          <w:bdr w:val="none" w:sz="0" w:space="0" w:color="auto" w:frame="1"/>
        </w:rPr>
        <w:t>Long-term</w:t>
      </w:r>
    </w:p>
    <w:p w:rsidR="00A1128D" w:rsidRPr="008642A3" w:rsidRDefault="00A1128D" w:rsidP="00A1128D">
      <w:pPr>
        <w:numPr>
          <w:ilvl w:val="0"/>
          <w:numId w:val="2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Equipment</w:t>
      </w:r>
    </w:p>
    <w:p w:rsidR="00A1128D" w:rsidRPr="008642A3" w:rsidRDefault="00A1128D" w:rsidP="00A1128D">
      <w:pPr>
        <w:numPr>
          <w:ilvl w:val="0"/>
          <w:numId w:val="2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Leasehold Improvements</w:t>
      </w:r>
    </w:p>
    <w:p w:rsidR="00A1128D" w:rsidRPr="008642A3" w:rsidRDefault="00A1128D" w:rsidP="00A1128D">
      <w:pPr>
        <w:numPr>
          <w:ilvl w:val="0"/>
          <w:numId w:val="2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Buildings</w:t>
      </w:r>
    </w:p>
    <w:p w:rsidR="00A1128D" w:rsidRPr="008642A3" w:rsidRDefault="00A1128D" w:rsidP="00A1128D">
      <w:pPr>
        <w:numPr>
          <w:ilvl w:val="0"/>
          <w:numId w:val="2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Vehicles</w:t>
      </w:r>
    </w:p>
    <w:p w:rsidR="00A1128D" w:rsidRDefault="00A1128D" w:rsidP="00A1128D">
      <w:pPr>
        <w:numPr>
          <w:ilvl w:val="0"/>
          <w:numId w:val="2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Long-term Notes Receivable</w:t>
      </w:r>
    </w:p>
    <w:p w:rsidR="008642A3" w:rsidRPr="008642A3" w:rsidRDefault="008642A3" w:rsidP="008642A3">
      <w:pPr>
        <w:spacing w:line="300" w:lineRule="atLeast"/>
        <w:rPr>
          <w:color w:val="FF0000"/>
          <w:sz w:val="28"/>
          <w:szCs w:val="28"/>
        </w:rPr>
      </w:pPr>
    </w:p>
    <w:p w:rsidR="00A1128D" w:rsidRPr="00A1128D" w:rsidRDefault="00A1128D" w:rsidP="00A1128D">
      <w:pPr>
        <w:pStyle w:val="NormalWeb"/>
        <w:spacing w:before="0" w:beforeAutospacing="0" w:after="300" w:afterAutospacing="0" w:line="345" w:lineRule="atLeast"/>
        <w:rPr>
          <w:color w:val="747373"/>
          <w:sz w:val="28"/>
          <w:szCs w:val="28"/>
        </w:rPr>
      </w:pPr>
      <w:r w:rsidRPr="00A1128D">
        <w:rPr>
          <w:color w:val="747373"/>
          <w:sz w:val="28"/>
          <w:szCs w:val="28"/>
        </w:rPr>
        <w:t xml:space="preserve">Many times there will be a third subcategory for </w:t>
      </w:r>
      <w:r w:rsidRPr="008642A3">
        <w:rPr>
          <w:color w:val="FF0000"/>
          <w:sz w:val="28"/>
          <w:szCs w:val="28"/>
        </w:rPr>
        <w:t>investments, intangible assets, and or property that doesn’t fit into the first two</w:t>
      </w:r>
      <w:r w:rsidRPr="00A1128D">
        <w:rPr>
          <w:color w:val="747373"/>
          <w:sz w:val="28"/>
          <w:szCs w:val="28"/>
        </w:rPr>
        <w:t>. Here are some examples of these balance sheet items:</w:t>
      </w:r>
    </w:p>
    <w:p w:rsidR="00A1128D" w:rsidRPr="008642A3" w:rsidRDefault="00A1128D" w:rsidP="00A1128D">
      <w:pPr>
        <w:numPr>
          <w:ilvl w:val="0"/>
          <w:numId w:val="3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rStyle w:val="bold"/>
          <w:rFonts w:eastAsiaTheme="majorEastAsia"/>
          <w:b/>
          <w:bCs/>
          <w:color w:val="FF0000"/>
          <w:sz w:val="28"/>
          <w:szCs w:val="28"/>
          <w:bdr w:val="none" w:sz="0" w:space="0" w:color="auto" w:frame="1"/>
        </w:rPr>
        <w:t>Other</w:t>
      </w:r>
    </w:p>
    <w:p w:rsidR="00A1128D" w:rsidRPr="008642A3" w:rsidRDefault="00A1128D" w:rsidP="00A1128D">
      <w:pPr>
        <w:numPr>
          <w:ilvl w:val="0"/>
          <w:numId w:val="3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Investments</w:t>
      </w:r>
    </w:p>
    <w:p w:rsidR="00A1128D" w:rsidRPr="008642A3" w:rsidRDefault="00A1128D" w:rsidP="00A1128D">
      <w:pPr>
        <w:numPr>
          <w:ilvl w:val="0"/>
          <w:numId w:val="3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Goodwill</w:t>
      </w:r>
    </w:p>
    <w:p w:rsidR="00A1128D" w:rsidRPr="008642A3" w:rsidRDefault="00A1128D" w:rsidP="00A1128D">
      <w:pPr>
        <w:numPr>
          <w:ilvl w:val="0"/>
          <w:numId w:val="3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Trademarks</w:t>
      </w:r>
    </w:p>
    <w:p w:rsidR="00A1128D" w:rsidRDefault="00A1128D" w:rsidP="00A1128D">
      <w:pPr>
        <w:numPr>
          <w:ilvl w:val="0"/>
          <w:numId w:val="3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Mineral Rights</w:t>
      </w:r>
    </w:p>
    <w:p w:rsidR="008642A3" w:rsidRPr="008642A3" w:rsidRDefault="008642A3" w:rsidP="008642A3">
      <w:pPr>
        <w:spacing w:line="300" w:lineRule="atLeast"/>
        <w:rPr>
          <w:color w:val="FF0000"/>
          <w:sz w:val="28"/>
          <w:szCs w:val="28"/>
        </w:rPr>
      </w:pPr>
    </w:p>
    <w:p w:rsidR="00A1128D" w:rsidRPr="00A1128D" w:rsidRDefault="00A1128D" w:rsidP="00A1128D">
      <w:pPr>
        <w:pStyle w:val="Heading3"/>
        <w:spacing w:before="0" w:beforeAutospacing="0" w:after="225" w:afterAutospacing="0" w:line="375" w:lineRule="atLeast"/>
        <w:rPr>
          <w:b w:val="0"/>
          <w:bCs w:val="0"/>
          <w:color w:val="22AC46"/>
          <w:sz w:val="28"/>
          <w:szCs w:val="28"/>
        </w:rPr>
      </w:pPr>
      <w:r w:rsidRPr="00A1128D">
        <w:rPr>
          <w:b w:val="0"/>
          <w:bCs w:val="0"/>
          <w:color w:val="22AC46"/>
          <w:sz w:val="28"/>
          <w:szCs w:val="28"/>
        </w:rPr>
        <w:t>Liabilities Section</w:t>
      </w:r>
    </w:p>
    <w:p w:rsidR="00A1128D" w:rsidRPr="008642A3" w:rsidRDefault="00A1128D" w:rsidP="00A1128D">
      <w:pPr>
        <w:pStyle w:val="NormalWeb"/>
        <w:spacing w:before="0" w:beforeAutospacing="0" w:after="300" w:afterAutospacing="0" w:line="345" w:lineRule="atLeast"/>
        <w:rPr>
          <w:color w:val="FF0000"/>
          <w:sz w:val="28"/>
          <w:szCs w:val="28"/>
        </w:rPr>
      </w:pPr>
      <w:r w:rsidRPr="00A1128D">
        <w:rPr>
          <w:color w:val="747373"/>
          <w:sz w:val="28"/>
          <w:szCs w:val="28"/>
        </w:rPr>
        <w:t xml:space="preserve">Liabilities are also reported </w:t>
      </w:r>
      <w:r w:rsidRPr="008642A3">
        <w:rPr>
          <w:color w:val="FF0000"/>
          <w:sz w:val="28"/>
          <w:szCs w:val="28"/>
        </w:rPr>
        <w:t xml:space="preserve">in multiple </w:t>
      </w:r>
      <w:r w:rsidRPr="00A1128D">
        <w:rPr>
          <w:color w:val="747373"/>
          <w:sz w:val="28"/>
          <w:szCs w:val="28"/>
        </w:rPr>
        <w:t xml:space="preserve">subcategories. There are typically two or three different liability subcategories in the liabilities section: </w:t>
      </w:r>
      <w:r w:rsidRPr="008642A3">
        <w:rPr>
          <w:color w:val="FF0000"/>
          <w:sz w:val="28"/>
          <w:szCs w:val="28"/>
        </w:rPr>
        <w:t>current, long-term, and owner debt.</w:t>
      </w:r>
    </w:p>
    <w:p w:rsidR="00A1128D" w:rsidRPr="00A1128D" w:rsidRDefault="00A1128D" w:rsidP="00A1128D">
      <w:pPr>
        <w:pStyle w:val="NormalWeb"/>
        <w:spacing w:before="0" w:beforeAutospacing="0" w:after="300" w:afterAutospacing="0" w:line="345" w:lineRule="atLeast"/>
        <w:rPr>
          <w:color w:val="747373"/>
          <w:sz w:val="28"/>
          <w:szCs w:val="28"/>
        </w:rPr>
      </w:pPr>
      <w:r w:rsidRPr="00A1128D">
        <w:rPr>
          <w:color w:val="747373"/>
          <w:sz w:val="28"/>
          <w:szCs w:val="28"/>
        </w:rPr>
        <w:lastRenderedPageBreak/>
        <w:t xml:space="preserve">The current liabilities section is always </w:t>
      </w:r>
      <w:r w:rsidRPr="008642A3">
        <w:rPr>
          <w:color w:val="FF0000"/>
          <w:sz w:val="28"/>
          <w:szCs w:val="28"/>
        </w:rPr>
        <w:t xml:space="preserve">reported first </w:t>
      </w:r>
      <w:r w:rsidRPr="00A1128D">
        <w:rPr>
          <w:color w:val="747373"/>
          <w:sz w:val="28"/>
          <w:szCs w:val="28"/>
        </w:rPr>
        <w:t xml:space="preserve">and includes </w:t>
      </w:r>
      <w:r w:rsidRPr="008642A3">
        <w:rPr>
          <w:color w:val="FF0000"/>
          <w:sz w:val="28"/>
          <w:szCs w:val="28"/>
        </w:rPr>
        <w:t>debt</w:t>
      </w:r>
      <w:r w:rsidRPr="00A1128D">
        <w:rPr>
          <w:color w:val="747373"/>
          <w:sz w:val="28"/>
          <w:szCs w:val="28"/>
        </w:rPr>
        <w:t xml:space="preserve"> and other obligations that will become </w:t>
      </w:r>
      <w:r w:rsidRPr="008642A3">
        <w:rPr>
          <w:color w:val="FF0000"/>
          <w:sz w:val="28"/>
          <w:szCs w:val="28"/>
        </w:rPr>
        <w:t>due in the current period</w:t>
      </w:r>
      <w:r w:rsidRPr="00A1128D">
        <w:rPr>
          <w:color w:val="747373"/>
          <w:sz w:val="28"/>
          <w:szCs w:val="28"/>
        </w:rPr>
        <w:t xml:space="preserve">. This usually includes </w:t>
      </w:r>
      <w:r w:rsidRPr="008642A3">
        <w:rPr>
          <w:color w:val="FF0000"/>
          <w:sz w:val="28"/>
          <w:szCs w:val="28"/>
        </w:rPr>
        <w:t>trade debt and short-term loans, but it can also include the portion of long-term loans that are due in the current period.</w:t>
      </w:r>
      <w:r w:rsidRPr="00A1128D">
        <w:rPr>
          <w:color w:val="747373"/>
          <w:sz w:val="28"/>
          <w:szCs w:val="28"/>
        </w:rPr>
        <w:t xml:space="preserve"> The current debts are always listed by due dates starting with </w:t>
      </w:r>
      <w:r w:rsidRPr="008642A3">
        <w:rPr>
          <w:color w:val="FF0000"/>
          <w:sz w:val="28"/>
          <w:szCs w:val="28"/>
        </w:rPr>
        <w:t>accounts payable</w:t>
      </w:r>
      <w:r w:rsidRPr="00A1128D">
        <w:rPr>
          <w:color w:val="747373"/>
          <w:sz w:val="28"/>
          <w:szCs w:val="28"/>
        </w:rPr>
        <w:t>. Here’s a list of the most common current liabilities in order of how they appear:</w:t>
      </w:r>
    </w:p>
    <w:p w:rsidR="00A1128D" w:rsidRPr="008642A3" w:rsidRDefault="00A1128D" w:rsidP="00A1128D">
      <w:pPr>
        <w:numPr>
          <w:ilvl w:val="0"/>
          <w:numId w:val="4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rStyle w:val="bold"/>
          <w:rFonts w:eastAsiaTheme="majorEastAsia"/>
          <w:b/>
          <w:bCs/>
          <w:color w:val="FF0000"/>
          <w:sz w:val="28"/>
          <w:szCs w:val="28"/>
          <w:bdr w:val="none" w:sz="0" w:space="0" w:color="auto" w:frame="1"/>
        </w:rPr>
        <w:t>Current Liabilities</w:t>
      </w:r>
    </w:p>
    <w:p w:rsidR="00A1128D" w:rsidRPr="008642A3" w:rsidRDefault="00A1128D" w:rsidP="00A1128D">
      <w:pPr>
        <w:numPr>
          <w:ilvl w:val="0"/>
          <w:numId w:val="4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Accounts Payable</w:t>
      </w:r>
    </w:p>
    <w:p w:rsidR="00A1128D" w:rsidRPr="008642A3" w:rsidRDefault="00A1128D" w:rsidP="00A1128D">
      <w:pPr>
        <w:numPr>
          <w:ilvl w:val="0"/>
          <w:numId w:val="4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Accrued Expenses</w:t>
      </w:r>
    </w:p>
    <w:p w:rsidR="00A1128D" w:rsidRPr="008642A3" w:rsidRDefault="00A1128D" w:rsidP="00A1128D">
      <w:pPr>
        <w:numPr>
          <w:ilvl w:val="0"/>
          <w:numId w:val="4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Unearned Revenue</w:t>
      </w:r>
    </w:p>
    <w:p w:rsidR="00A1128D" w:rsidRPr="008642A3" w:rsidRDefault="00A1128D" w:rsidP="00A1128D">
      <w:pPr>
        <w:numPr>
          <w:ilvl w:val="0"/>
          <w:numId w:val="4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Lines of Credit</w:t>
      </w:r>
    </w:p>
    <w:p w:rsidR="00A1128D" w:rsidRDefault="00A1128D" w:rsidP="00A1128D">
      <w:pPr>
        <w:numPr>
          <w:ilvl w:val="0"/>
          <w:numId w:val="4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Current Portion of Long-term Debt</w:t>
      </w:r>
    </w:p>
    <w:p w:rsidR="008642A3" w:rsidRPr="008642A3" w:rsidRDefault="008642A3" w:rsidP="008642A3">
      <w:pPr>
        <w:spacing w:line="300" w:lineRule="atLeast"/>
        <w:rPr>
          <w:color w:val="FF0000"/>
          <w:sz w:val="28"/>
          <w:szCs w:val="28"/>
        </w:rPr>
      </w:pPr>
    </w:p>
    <w:p w:rsidR="00A1128D" w:rsidRPr="00A1128D" w:rsidRDefault="00A1128D" w:rsidP="00A1128D">
      <w:pPr>
        <w:pStyle w:val="NormalWeb"/>
        <w:spacing w:before="0" w:beforeAutospacing="0" w:after="300" w:afterAutospacing="0" w:line="345" w:lineRule="atLeast"/>
        <w:rPr>
          <w:color w:val="747373"/>
          <w:sz w:val="28"/>
          <w:szCs w:val="28"/>
        </w:rPr>
      </w:pPr>
      <w:r w:rsidRPr="00A1128D">
        <w:rPr>
          <w:color w:val="747373"/>
          <w:sz w:val="28"/>
          <w:szCs w:val="28"/>
        </w:rPr>
        <w:t xml:space="preserve">The second liabilities section lists the obligations that will become </w:t>
      </w:r>
      <w:r w:rsidRPr="008642A3">
        <w:rPr>
          <w:color w:val="FF0000"/>
          <w:sz w:val="28"/>
          <w:szCs w:val="28"/>
        </w:rPr>
        <w:t>due in more than one year</w:t>
      </w:r>
      <w:r w:rsidRPr="00A1128D">
        <w:rPr>
          <w:color w:val="747373"/>
          <w:sz w:val="28"/>
          <w:szCs w:val="28"/>
        </w:rPr>
        <w:t xml:space="preserve">. Often times all of the long-term debt is simply grouped into </w:t>
      </w:r>
      <w:r w:rsidRPr="008642A3">
        <w:rPr>
          <w:color w:val="FF0000"/>
          <w:sz w:val="28"/>
          <w:szCs w:val="28"/>
        </w:rPr>
        <w:t>one general listing</w:t>
      </w:r>
      <w:r w:rsidRPr="00A1128D">
        <w:rPr>
          <w:color w:val="747373"/>
          <w:sz w:val="28"/>
          <w:szCs w:val="28"/>
        </w:rPr>
        <w:t>, but it can be listed in detail. Here are some examples:</w:t>
      </w:r>
    </w:p>
    <w:p w:rsidR="00A1128D" w:rsidRPr="008642A3" w:rsidRDefault="00A1128D" w:rsidP="00A1128D">
      <w:pPr>
        <w:numPr>
          <w:ilvl w:val="0"/>
          <w:numId w:val="5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rStyle w:val="bold"/>
          <w:rFonts w:eastAsiaTheme="majorEastAsia"/>
          <w:b/>
          <w:bCs/>
          <w:color w:val="FF0000"/>
          <w:sz w:val="28"/>
          <w:szCs w:val="28"/>
          <w:bdr w:val="none" w:sz="0" w:space="0" w:color="auto" w:frame="1"/>
        </w:rPr>
        <w:t>Long-term Liabilities</w:t>
      </w:r>
    </w:p>
    <w:p w:rsidR="00A1128D" w:rsidRPr="008642A3" w:rsidRDefault="00A1128D" w:rsidP="00A1128D">
      <w:pPr>
        <w:numPr>
          <w:ilvl w:val="0"/>
          <w:numId w:val="5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Mortgage Payable</w:t>
      </w:r>
    </w:p>
    <w:p w:rsidR="00A1128D" w:rsidRPr="008642A3" w:rsidRDefault="00A1128D" w:rsidP="00A1128D">
      <w:pPr>
        <w:numPr>
          <w:ilvl w:val="0"/>
          <w:numId w:val="5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Notes Payable</w:t>
      </w:r>
    </w:p>
    <w:p w:rsidR="00A1128D" w:rsidRDefault="00A1128D" w:rsidP="00A1128D">
      <w:pPr>
        <w:numPr>
          <w:ilvl w:val="0"/>
          <w:numId w:val="5"/>
        </w:numPr>
        <w:spacing w:line="300" w:lineRule="atLeast"/>
        <w:ind w:left="0"/>
        <w:rPr>
          <w:color w:val="FF0000"/>
          <w:sz w:val="28"/>
          <w:szCs w:val="28"/>
        </w:rPr>
      </w:pPr>
      <w:r w:rsidRPr="008642A3">
        <w:rPr>
          <w:color w:val="FF0000"/>
          <w:sz w:val="28"/>
          <w:szCs w:val="28"/>
        </w:rPr>
        <w:t>Loans Payable</w:t>
      </w:r>
    </w:p>
    <w:p w:rsidR="008642A3" w:rsidRPr="008642A3" w:rsidRDefault="008642A3" w:rsidP="008642A3">
      <w:pPr>
        <w:spacing w:line="300" w:lineRule="atLeast"/>
        <w:rPr>
          <w:color w:val="FF0000"/>
          <w:sz w:val="28"/>
          <w:szCs w:val="28"/>
        </w:rPr>
      </w:pPr>
    </w:p>
    <w:p w:rsidR="00A1128D" w:rsidRPr="00A1128D" w:rsidRDefault="00A1128D" w:rsidP="00A1128D">
      <w:pPr>
        <w:pStyle w:val="Heading3"/>
        <w:spacing w:before="0" w:beforeAutospacing="0" w:after="225" w:afterAutospacing="0" w:line="375" w:lineRule="atLeast"/>
        <w:rPr>
          <w:b w:val="0"/>
          <w:bCs w:val="0"/>
          <w:color w:val="22AC46"/>
          <w:sz w:val="28"/>
          <w:szCs w:val="28"/>
        </w:rPr>
      </w:pPr>
      <w:r w:rsidRPr="00A1128D">
        <w:rPr>
          <w:b w:val="0"/>
          <w:bCs w:val="0"/>
          <w:color w:val="22AC46"/>
          <w:sz w:val="28"/>
          <w:szCs w:val="28"/>
        </w:rPr>
        <w:t>Equity Section</w:t>
      </w:r>
    </w:p>
    <w:p w:rsidR="00A1128D" w:rsidRPr="008642A3" w:rsidRDefault="00A1128D" w:rsidP="00A1128D">
      <w:pPr>
        <w:pStyle w:val="NormalWeb"/>
        <w:spacing w:before="0" w:beforeAutospacing="0" w:after="300" w:afterAutospacing="0" w:line="345" w:lineRule="atLeast"/>
        <w:rPr>
          <w:color w:val="FF0000"/>
          <w:sz w:val="28"/>
          <w:szCs w:val="28"/>
        </w:rPr>
      </w:pPr>
      <w:r w:rsidRPr="00A1128D">
        <w:rPr>
          <w:color w:val="747373"/>
          <w:sz w:val="28"/>
          <w:szCs w:val="28"/>
        </w:rPr>
        <w:t xml:space="preserve">Unlike the asset and liability sections, the equity section changes depending on the type of entity. </w:t>
      </w:r>
      <w:r w:rsidRPr="008642A3">
        <w:rPr>
          <w:color w:val="FF0000"/>
          <w:sz w:val="28"/>
          <w:szCs w:val="28"/>
        </w:rPr>
        <w:t>For example, corporations list the common stock, preferred stock, retained earnings, and treasury stock. Partnerships list the members’ capital and sole proprietorships list the owner’s capital.</w:t>
      </w:r>
    </w:p>
    <w:p w:rsidR="00A1128D" w:rsidRPr="00A1128D" w:rsidRDefault="00A1128D" w:rsidP="00A1128D">
      <w:pPr>
        <w:pStyle w:val="NormalWeb"/>
        <w:spacing w:before="0" w:beforeAutospacing="0" w:after="300" w:afterAutospacing="0" w:line="345" w:lineRule="atLeast"/>
        <w:rPr>
          <w:color w:val="747373"/>
          <w:sz w:val="28"/>
          <w:szCs w:val="28"/>
        </w:rPr>
      </w:pPr>
      <w:r w:rsidRPr="00A1128D">
        <w:rPr>
          <w:color w:val="747373"/>
          <w:sz w:val="28"/>
          <w:szCs w:val="28"/>
        </w:rPr>
        <w:t xml:space="preserve">Like all financial statements, </w:t>
      </w:r>
      <w:r w:rsidRPr="008642A3">
        <w:rPr>
          <w:color w:val="FF0000"/>
          <w:sz w:val="28"/>
          <w:szCs w:val="28"/>
        </w:rPr>
        <w:t>the balance sheet has a heading that display's the company name, title of the statement and the time period of the report</w:t>
      </w:r>
      <w:r w:rsidRPr="00A1128D">
        <w:rPr>
          <w:color w:val="747373"/>
          <w:sz w:val="28"/>
          <w:szCs w:val="28"/>
        </w:rPr>
        <w:t>. For example,</w:t>
      </w:r>
    </w:p>
    <w:p w:rsidR="00A1128D" w:rsidRPr="00A1128D" w:rsidRDefault="00A1128D" w:rsidP="00A1128D">
      <w:pPr>
        <w:numPr>
          <w:ilvl w:val="0"/>
          <w:numId w:val="6"/>
        </w:numPr>
        <w:spacing w:line="300" w:lineRule="atLeast"/>
        <w:ind w:left="0"/>
        <w:rPr>
          <w:color w:val="7D7D7B"/>
          <w:sz w:val="28"/>
          <w:szCs w:val="28"/>
        </w:rPr>
      </w:pPr>
      <w:r w:rsidRPr="00A1128D">
        <w:rPr>
          <w:color w:val="7D7D7B"/>
          <w:sz w:val="28"/>
          <w:szCs w:val="28"/>
        </w:rPr>
        <w:t>Paul's Guitar Shop, Inc.</w:t>
      </w:r>
    </w:p>
    <w:p w:rsidR="00A1128D" w:rsidRPr="00A1128D" w:rsidRDefault="00A1128D" w:rsidP="00A1128D">
      <w:pPr>
        <w:numPr>
          <w:ilvl w:val="0"/>
          <w:numId w:val="6"/>
        </w:numPr>
        <w:spacing w:line="300" w:lineRule="atLeast"/>
        <w:ind w:left="0"/>
        <w:rPr>
          <w:color w:val="7D7D7B"/>
          <w:sz w:val="28"/>
          <w:szCs w:val="28"/>
        </w:rPr>
      </w:pPr>
      <w:r w:rsidRPr="00A1128D">
        <w:rPr>
          <w:color w:val="7D7D7B"/>
          <w:sz w:val="28"/>
          <w:szCs w:val="28"/>
        </w:rPr>
        <w:t>Balance Sheet</w:t>
      </w:r>
    </w:p>
    <w:p w:rsidR="00A1128D" w:rsidRPr="00A1128D" w:rsidRDefault="00A1128D" w:rsidP="00A1128D">
      <w:pPr>
        <w:numPr>
          <w:ilvl w:val="0"/>
          <w:numId w:val="6"/>
        </w:numPr>
        <w:spacing w:line="300" w:lineRule="atLeast"/>
        <w:ind w:left="0"/>
        <w:rPr>
          <w:color w:val="7D7D7B"/>
          <w:sz w:val="28"/>
          <w:szCs w:val="28"/>
        </w:rPr>
      </w:pPr>
      <w:r w:rsidRPr="00A1128D">
        <w:rPr>
          <w:color w:val="7D7D7B"/>
          <w:sz w:val="28"/>
          <w:szCs w:val="28"/>
        </w:rPr>
        <w:t>December 31, 2015</w:t>
      </w:r>
    </w:p>
    <w:p w:rsidR="006F5F1C" w:rsidRDefault="006F5F1C" w:rsidP="00A1128D">
      <w:pPr>
        <w:rPr>
          <w:sz w:val="28"/>
          <w:szCs w:val="28"/>
        </w:rPr>
      </w:pPr>
    </w:p>
    <w:p w:rsidR="00930960" w:rsidRDefault="00930960" w:rsidP="00A1128D">
      <w:pPr>
        <w:rPr>
          <w:sz w:val="28"/>
          <w:szCs w:val="28"/>
        </w:rPr>
      </w:pPr>
    </w:p>
    <w:p w:rsidR="00930960" w:rsidRDefault="00930960" w:rsidP="00930960">
      <w:pPr>
        <w:pStyle w:val="Heading2"/>
        <w:spacing w:before="0" w:beforeAutospacing="0" w:after="225" w:afterAutospacing="0" w:line="375" w:lineRule="atLeast"/>
        <w:rPr>
          <w:rFonts w:ascii="Helvetica" w:hAnsi="Helvetica" w:cs="Helvetica"/>
          <w:b w:val="0"/>
          <w:bCs w:val="0"/>
          <w:color w:val="22AC46"/>
        </w:rPr>
      </w:pPr>
    </w:p>
    <w:p w:rsidR="00930960" w:rsidRDefault="00930960" w:rsidP="00930960">
      <w:pPr>
        <w:pStyle w:val="Heading2"/>
        <w:spacing w:before="0" w:beforeAutospacing="0" w:after="225" w:afterAutospacing="0" w:line="375" w:lineRule="atLeast"/>
        <w:rPr>
          <w:rFonts w:ascii="Helvetica" w:hAnsi="Helvetica" w:cs="Helvetica"/>
          <w:b w:val="0"/>
          <w:bCs w:val="0"/>
          <w:color w:val="22AC46"/>
        </w:rPr>
      </w:pPr>
    </w:p>
    <w:p w:rsidR="00930960" w:rsidRDefault="00930960" w:rsidP="00930960">
      <w:pPr>
        <w:pStyle w:val="Heading2"/>
        <w:spacing w:before="0" w:beforeAutospacing="0" w:after="225" w:afterAutospacing="0" w:line="375" w:lineRule="atLeast"/>
        <w:rPr>
          <w:rFonts w:ascii="Helvetica" w:hAnsi="Helvetica" w:cs="Helvetica"/>
          <w:b w:val="0"/>
          <w:bCs w:val="0"/>
          <w:color w:val="22AC46"/>
        </w:rPr>
      </w:pPr>
    </w:p>
    <w:p w:rsidR="00930960" w:rsidRDefault="00930960" w:rsidP="00930960">
      <w:pPr>
        <w:pStyle w:val="Heading2"/>
        <w:spacing w:before="0" w:beforeAutospacing="0" w:after="225" w:afterAutospacing="0" w:line="375" w:lineRule="atLeast"/>
        <w:rPr>
          <w:rFonts w:ascii="Helvetica" w:hAnsi="Helvetica" w:cs="Helvetica"/>
          <w:b w:val="0"/>
          <w:bCs w:val="0"/>
          <w:color w:val="22AC46"/>
        </w:rPr>
      </w:pPr>
    </w:p>
    <w:p w:rsidR="00930960" w:rsidRDefault="00930960" w:rsidP="00930960">
      <w:pPr>
        <w:pStyle w:val="Heading2"/>
        <w:spacing w:before="0" w:beforeAutospacing="0" w:after="225" w:afterAutospacing="0" w:line="375" w:lineRule="atLeast"/>
        <w:rPr>
          <w:rFonts w:ascii="Helvetica" w:hAnsi="Helvetica" w:cs="Helvetica"/>
          <w:b w:val="0"/>
          <w:bCs w:val="0"/>
          <w:color w:val="22AC46"/>
        </w:rPr>
      </w:pPr>
      <w:r>
        <w:rPr>
          <w:rFonts w:ascii="Helvetica" w:hAnsi="Helvetica" w:cs="Helvetica"/>
          <w:b w:val="0"/>
          <w:bCs w:val="0"/>
          <w:color w:val="22AC46"/>
        </w:rPr>
        <w:t>Example</w:t>
      </w:r>
    </w:p>
    <w:p w:rsidR="00930960" w:rsidRDefault="00930960" w:rsidP="00930960">
      <w:pPr>
        <w:pStyle w:val="NormalWeb"/>
        <w:spacing w:before="0" w:beforeAutospacing="0" w:after="0" w:afterAutospacing="0" w:line="345" w:lineRule="atLeast"/>
        <w:rPr>
          <w:rFonts w:ascii="Helvetica" w:hAnsi="Helvetica" w:cs="Helvetica"/>
          <w:color w:val="747373"/>
          <w:sz w:val="23"/>
          <w:szCs w:val="23"/>
        </w:rPr>
      </w:pPr>
      <w:r>
        <w:rPr>
          <w:rFonts w:ascii="Helvetica" w:hAnsi="Helvetica" w:cs="Helvetica"/>
          <w:color w:val="747373"/>
          <w:sz w:val="23"/>
          <w:szCs w:val="23"/>
        </w:rPr>
        <w:t>Here is an example of how to prepare the balance sheet from our</w:t>
      </w:r>
      <w:r>
        <w:rPr>
          <w:rStyle w:val="apple-converted-space"/>
          <w:rFonts w:ascii="Helvetica" w:hAnsi="Helvetica" w:cs="Helvetica"/>
          <w:color w:val="747373"/>
          <w:sz w:val="23"/>
          <w:szCs w:val="23"/>
        </w:rPr>
        <w:t> </w:t>
      </w:r>
      <w:hyperlink r:id="rId9" w:history="1">
        <w:r>
          <w:rPr>
            <w:rStyle w:val="Hyperlink"/>
            <w:rFonts w:ascii="Helvetica" w:hAnsi="Helvetica" w:cs="Helvetica"/>
            <w:color w:val="22AC46"/>
            <w:sz w:val="23"/>
            <w:szCs w:val="23"/>
            <w:bdr w:val="none" w:sz="0" w:space="0" w:color="auto" w:frame="1"/>
          </w:rPr>
          <w:t>unadjusted trial balance</w:t>
        </w:r>
      </w:hyperlink>
      <w:r>
        <w:rPr>
          <w:rStyle w:val="apple-converted-space"/>
          <w:rFonts w:ascii="Helvetica" w:hAnsi="Helvetica" w:cs="Helvetica"/>
          <w:color w:val="747373"/>
          <w:sz w:val="23"/>
          <w:szCs w:val="23"/>
        </w:rPr>
        <w:t> </w:t>
      </w:r>
      <w:r>
        <w:rPr>
          <w:rFonts w:ascii="Helvetica" w:hAnsi="Helvetica" w:cs="Helvetica"/>
          <w:color w:val="747373"/>
          <w:sz w:val="23"/>
          <w:szCs w:val="23"/>
        </w:rPr>
        <w:t>and</w:t>
      </w:r>
      <w:r>
        <w:rPr>
          <w:rStyle w:val="apple-converted-space"/>
          <w:rFonts w:ascii="Helvetica" w:hAnsi="Helvetica" w:cs="Helvetica"/>
          <w:color w:val="747373"/>
          <w:sz w:val="23"/>
          <w:szCs w:val="23"/>
        </w:rPr>
        <w:t> </w:t>
      </w:r>
      <w:hyperlink r:id="rId10" w:history="1">
        <w:r>
          <w:rPr>
            <w:rStyle w:val="Hyperlink"/>
            <w:rFonts w:ascii="Helvetica" w:hAnsi="Helvetica" w:cs="Helvetica"/>
            <w:color w:val="22AC46"/>
            <w:sz w:val="23"/>
            <w:szCs w:val="23"/>
            <w:bdr w:val="none" w:sz="0" w:space="0" w:color="auto" w:frame="1"/>
          </w:rPr>
          <w:t>financial statements</w:t>
        </w:r>
      </w:hyperlink>
      <w:r>
        <w:rPr>
          <w:rStyle w:val="apple-converted-space"/>
          <w:rFonts w:ascii="Helvetica" w:hAnsi="Helvetica" w:cs="Helvetica"/>
          <w:color w:val="747373"/>
          <w:sz w:val="23"/>
          <w:szCs w:val="23"/>
        </w:rPr>
        <w:t> </w:t>
      </w:r>
      <w:r>
        <w:rPr>
          <w:rFonts w:ascii="Helvetica" w:hAnsi="Helvetica" w:cs="Helvetica"/>
          <w:color w:val="747373"/>
          <w:sz w:val="23"/>
          <w:szCs w:val="23"/>
        </w:rPr>
        <w:t>used in the accounting cycle examples for Paul's Guitar Shop.</w:t>
      </w:r>
    </w:p>
    <w:p w:rsidR="00930960" w:rsidRDefault="00930960" w:rsidP="00930960">
      <w:pPr>
        <w:pStyle w:val="Heading3"/>
        <w:spacing w:before="0" w:beforeAutospacing="0" w:after="225" w:afterAutospacing="0" w:line="375" w:lineRule="atLeast"/>
        <w:rPr>
          <w:rFonts w:ascii="Helvetica" w:hAnsi="Helvetica" w:cs="Helvetica"/>
          <w:b w:val="0"/>
          <w:bCs w:val="0"/>
          <w:color w:val="22AC46"/>
          <w:sz w:val="31"/>
          <w:szCs w:val="31"/>
        </w:rPr>
      </w:pPr>
    </w:p>
    <w:p w:rsidR="00930960" w:rsidRDefault="00930960" w:rsidP="00930960">
      <w:pPr>
        <w:pStyle w:val="Heading3"/>
        <w:spacing w:before="0" w:beforeAutospacing="0" w:after="225" w:afterAutospacing="0" w:line="375" w:lineRule="atLeast"/>
        <w:rPr>
          <w:rFonts w:ascii="Helvetica" w:hAnsi="Helvetica" w:cs="Helvetica"/>
          <w:b w:val="0"/>
          <w:bCs w:val="0"/>
          <w:color w:val="22AC46"/>
          <w:sz w:val="31"/>
          <w:szCs w:val="31"/>
        </w:rPr>
      </w:pPr>
    </w:p>
    <w:p w:rsidR="00930960" w:rsidRDefault="00930960" w:rsidP="00930960">
      <w:pPr>
        <w:pStyle w:val="Heading3"/>
        <w:spacing w:before="0" w:beforeAutospacing="0" w:after="225" w:afterAutospacing="0" w:line="375" w:lineRule="atLeast"/>
        <w:rPr>
          <w:rFonts w:ascii="Helvetica" w:hAnsi="Helvetica" w:cs="Helvetica"/>
          <w:b w:val="0"/>
          <w:bCs w:val="0"/>
          <w:color w:val="22AC46"/>
          <w:sz w:val="31"/>
          <w:szCs w:val="31"/>
        </w:rPr>
      </w:pPr>
      <w:r>
        <w:rPr>
          <w:rFonts w:ascii="Helvetica" w:hAnsi="Helvetica" w:cs="Helvetica"/>
          <w:b w:val="0"/>
          <w:bCs w:val="0"/>
          <w:color w:val="22AC46"/>
          <w:sz w:val="31"/>
          <w:szCs w:val="31"/>
        </w:rPr>
        <w:t>Account Format Balance Sheet</w:t>
      </w:r>
    </w:p>
    <w:p w:rsidR="00930960" w:rsidRDefault="00930960" w:rsidP="00930960">
      <w:pPr>
        <w:pStyle w:val="Heading3"/>
        <w:spacing w:before="0" w:beforeAutospacing="0" w:after="225" w:afterAutospacing="0" w:line="375" w:lineRule="atLeast"/>
        <w:rPr>
          <w:rFonts w:ascii="Helvetica" w:hAnsi="Helvetica" w:cs="Helvetica"/>
          <w:b w:val="0"/>
          <w:bCs w:val="0"/>
          <w:color w:val="22AC46"/>
          <w:sz w:val="31"/>
          <w:szCs w:val="31"/>
        </w:rPr>
      </w:pPr>
    </w:p>
    <w:p w:rsidR="00930960" w:rsidRDefault="00930960" w:rsidP="00930960">
      <w:pPr>
        <w:pStyle w:val="Heading3"/>
        <w:spacing w:before="0" w:beforeAutospacing="0" w:after="225" w:afterAutospacing="0" w:line="375" w:lineRule="atLeast"/>
        <w:rPr>
          <w:rFonts w:ascii="Helvetica" w:hAnsi="Helvetica" w:cs="Helvetica"/>
          <w:b w:val="0"/>
          <w:bCs w:val="0"/>
          <w:color w:val="22AC46"/>
          <w:sz w:val="31"/>
          <w:szCs w:val="31"/>
        </w:rPr>
      </w:pPr>
    </w:p>
    <w:p w:rsidR="00930960" w:rsidRDefault="00930960" w:rsidP="00930960">
      <w:pPr>
        <w:pStyle w:val="Heading3"/>
        <w:spacing w:before="0" w:beforeAutospacing="0" w:after="225" w:afterAutospacing="0" w:line="375" w:lineRule="atLeast"/>
        <w:rPr>
          <w:rFonts w:ascii="Helvetica" w:hAnsi="Helvetica" w:cs="Helvetica"/>
          <w:b w:val="0"/>
          <w:bCs w:val="0"/>
          <w:color w:val="22AC46"/>
          <w:sz w:val="31"/>
          <w:szCs w:val="31"/>
        </w:rPr>
      </w:pPr>
      <w:r>
        <w:rPr>
          <w:rFonts w:ascii="Helvetica" w:hAnsi="Helvetica" w:cs="Helvetica"/>
          <w:b w:val="0"/>
          <w:bCs w:val="0"/>
          <w:noProof/>
          <w:color w:val="22AC46"/>
          <w:sz w:val="31"/>
          <w:szCs w:val="31"/>
        </w:rPr>
        <w:drawing>
          <wp:inline distT="0" distB="0" distL="0" distR="0" wp14:anchorId="4C2BFEA1" wp14:editId="4ED44306">
            <wp:extent cx="5950585" cy="3425825"/>
            <wp:effectExtent l="0" t="0" r="0" b="3175"/>
            <wp:docPr id="3" name="Picture 3" descr="C:\Users\tuheed\Desktop\balance-sheet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heed\Desktop\balance-sheet-templa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60" w:rsidRDefault="00930960" w:rsidP="00930960">
      <w:pPr>
        <w:rPr>
          <w:sz w:val="28"/>
          <w:szCs w:val="28"/>
        </w:rPr>
      </w:pPr>
      <w:r>
        <w:rPr>
          <w:rFonts w:ascii="Helvetica" w:hAnsi="Helvetica" w:cs="Helvetica"/>
          <w:color w:val="7D7D7B"/>
          <w:sz w:val="23"/>
          <w:szCs w:val="23"/>
        </w:rPr>
        <w:lastRenderedPageBreak/>
        <w:br/>
      </w:r>
    </w:p>
    <w:p w:rsidR="00930960" w:rsidRDefault="00930960" w:rsidP="00930960">
      <w:pPr>
        <w:rPr>
          <w:sz w:val="28"/>
          <w:szCs w:val="28"/>
        </w:rPr>
      </w:pPr>
    </w:p>
    <w:p w:rsidR="00930960" w:rsidRDefault="00930960" w:rsidP="00930960">
      <w:pPr>
        <w:rPr>
          <w:sz w:val="28"/>
          <w:szCs w:val="28"/>
        </w:rPr>
      </w:pPr>
    </w:p>
    <w:p w:rsidR="00930960" w:rsidRDefault="00930960" w:rsidP="00930960">
      <w:pPr>
        <w:rPr>
          <w:sz w:val="28"/>
          <w:szCs w:val="28"/>
        </w:rPr>
      </w:pPr>
    </w:p>
    <w:p w:rsidR="00F16AF4" w:rsidRDefault="00F16AF4" w:rsidP="00930960">
      <w:pPr>
        <w:rPr>
          <w:sz w:val="28"/>
          <w:szCs w:val="28"/>
        </w:rPr>
      </w:pPr>
    </w:p>
    <w:p w:rsidR="00930960" w:rsidRDefault="00930960" w:rsidP="00930960">
      <w:pPr>
        <w:rPr>
          <w:sz w:val="28"/>
          <w:szCs w:val="28"/>
        </w:rPr>
      </w:pPr>
    </w:p>
    <w:p w:rsidR="00930960" w:rsidRDefault="00930960" w:rsidP="00930960">
      <w:pPr>
        <w:rPr>
          <w:sz w:val="28"/>
          <w:szCs w:val="28"/>
        </w:rPr>
      </w:pPr>
    </w:p>
    <w:p w:rsidR="00930960" w:rsidRDefault="00930960" w:rsidP="00930960">
      <w:pPr>
        <w:pStyle w:val="Heading3"/>
        <w:spacing w:before="0" w:beforeAutospacing="0" w:after="225" w:afterAutospacing="0" w:line="375" w:lineRule="atLeast"/>
        <w:rPr>
          <w:rFonts w:ascii="Helvetica" w:hAnsi="Helvetica" w:cs="Helvetica"/>
          <w:b w:val="0"/>
          <w:bCs w:val="0"/>
          <w:color w:val="22AC46"/>
          <w:sz w:val="31"/>
          <w:szCs w:val="31"/>
        </w:rPr>
      </w:pPr>
      <w:r>
        <w:rPr>
          <w:rFonts w:ascii="Helvetica" w:hAnsi="Helvetica" w:cs="Helvetica"/>
          <w:b w:val="0"/>
          <w:bCs w:val="0"/>
          <w:color w:val="22AC46"/>
          <w:sz w:val="31"/>
          <w:szCs w:val="31"/>
        </w:rPr>
        <w:t>Report Format Balance Sheet</w:t>
      </w:r>
    </w:p>
    <w:p w:rsidR="00930960" w:rsidRPr="00930960" w:rsidRDefault="00930960" w:rsidP="00930960">
      <w:pPr>
        <w:pStyle w:val="Heading3"/>
        <w:spacing w:before="0" w:beforeAutospacing="0" w:after="225" w:afterAutospacing="0" w:line="375" w:lineRule="atLeast"/>
        <w:rPr>
          <w:rFonts w:ascii="Helvetica" w:hAnsi="Helvetica" w:cs="Helvetica"/>
          <w:b w:val="0"/>
          <w:bCs w:val="0"/>
          <w:color w:val="22AC46"/>
          <w:sz w:val="31"/>
          <w:szCs w:val="31"/>
        </w:rPr>
      </w:pPr>
      <w:r>
        <w:rPr>
          <w:rFonts w:ascii="Helvetica" w:hAnsi="Helvetica" w:cs="Helvetica"/>
          <w:b w:val="0"/>
          <w:bCs w:val="0"/>
          <w:noProof/>
          <w:color w:val="22AC46"/>
          <w:sz w:val="31"/>
          <w:szCs w:val="31"/>
        </w:rPr>
        <w:lastRenderedPageBreak/>
        <w:drawing>
          <wp:inline distT="0" distB="0" distL="0" distR="0" wp14:anchorId="401C2388" wp14:editId="128BF6E5">
            <wp:extent cx="5909310" cy="8229600"/>
            <wp:effectExtent l="0" t="0" r="0" b="0"/>
            <wp:docPr id="4" name="Picture 4" descr="C:\Users\tuheed\Desktop\balance-sheet-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heed\Desktop\balance-sheet-examp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960" w:rsidRPr="00930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43E"/>
    <w:multiLevelType w:val="multilevel"/>
    <w:tmpl w:val="E2C6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66841"/>
    <w:multiLevelType w:val="multilevel"/>
    <w:tmpl w:val="B7F8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25534"/>
    <w:multiLevelType w:val="multilevel"/>
    <w:tmpl w:val="FD6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92112"/>
    <w:multiLevelType w:val="multilevel"/>
    <w:tmpl w:val="CE18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2296E"/>
    <w:multiLevelType w:val="multilevel"/>
    <w:tmpl w:val="450A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4027D"/>
    <w:multiLevelType w:val="multilevel"/>
    <w:tmpl w:val="6982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DB"/>
    <w:rsid w:val="000307FD"/>
    <w:rsid w:val="00126241"/>
    <w:rsid w:val="003A54C1"/>
    <w:rsid w:val="00593EDB"/>
    <w:rsid w:val="006F5F1C"/>
    <w:rsid w:val="008642A3"/>
    <w:rsid w:val="00930960"/>
    <w:rsid w:val="00A1128D"/>
    <w:rsid w:val="00B3256D"/>
    <w:rsid w:val="00F1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2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112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1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2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12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12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1128D"/>
  </w:style>
  <w:style w:type="character" w:styleId="Hyperlink">
    <w:name w:val="Hyperlink"/>
    <w:basedOn w:val="DefaultParagraphFont"/>
    <w:uiPriority w:val="99"/>
    <w:semiHidden/>
    <w:unhideWhenUsed/>
    <w:rsid w:val="00A1128D"/>
    <w:rPr>
      <w:color w:val="0000FF"/>
      <w:u w:val="single"/>
    </w:rPr>
  </w:style>
  <w:style w:type="character" w:customStyle="1" w:styleId="bold">
    <w:name w:val="bold"/>
    <w:basedOn w:val="DefaultParagraphFont"/>
    <w:rsid w:val="00A1128D"/>
  </w:style>
  <w:style w:type="character" w:customStyle="1" w:styleId="Heading1Char">
    <w:name w:val="Heading 1 Char"/>
    <w:basedOn w:val="DefaultParagraphFont"/>
    <w:link w:val="Heading1"/>
    <w:uiPriority w:val="9"/>
    <w:rsid w:val="00A112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2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112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1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2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12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12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1128D"/>
  </w:style>
  <w:style w:type="character" w:styleId="Hyperlink">
    <w:name w:val="Hyperlink"/>
    <w:basedOn w:val="DefaultParagraphFont"/>
    <w:uiPriority w:val="99"/>
    <w:semiHidden/>
    <w:unhideWhenUsed/>
    <w:rsid w:val="00A1128D"/>
    <w:rPr>
      <w:color w:val="0000FF"/>
      <w:u w:val="single"/>
    </w:rPr>
  </w:style>
  <w:style w:type="character" w:customStyle="1" w:styleId="bold">
    <w:name w:val="bold"/>
    <w:basedOn w:val="DefaultParagraphFont"/>
    <w:rsid w:val="00A1128D"/>
  </w:style>
  <w:style w:type="character" w:customStyle="1" w:styleId="Heading1Char">
    <w:name w:val="Heading 1 Char"/>
    <w:basedOn w:val="DefaultParagraphFont"/>
    <w:link w:val="Heading1"/>
    <w:uiPriority w:val="9"/>
    <w:rsid w:val="00A112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ccountingcourse.com/accounting-dictionary/balance-sheet-equa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accountingcourse.com/accounting-basics/accounting-equation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accountingcourse.com/accounting-cycle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myaccountingcourse.com/accounting-cycle/financial-statement-prepa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accountingcourse.com/accounting-cycle/unadjusted-trial-ba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tuheed</dc:creator>
  <cp:keywords/>
  <dc:description/>
  <cp:lastModifiedBy>Lenovo</cp:lastModifiedBy>
  <cp:revision>7</cp:revision>
  <dcterms:created xsi:type="dcterms:W3CDTF">2016-12-05T16:55:00Z</dcterms:created>
  <dcterms:modified xsi:type="dcterms:W3CDTF">2020-05-29T09:34:00Z</dcterms:modified>
</cp:coreProperties>
</file>