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F0" w:rsidRPr="00CC2423" w:rsidRDefault="004773F0"/>
    <w:p w:rsidR="004773F0" w:rsidRPr="00CC2423" w:rsidRDefault="004773F0">
      <w:r w:rsidRPr="00CC2423">
        <w:t xml:space="preserve">                                         </w:t>
      </w:r>
      <w:r w:rsidR="00616206" w:rsidRPr="00CC2423">
        <w:t xml:space="preserve">                                                                                </w:t>
      </w:r>
      <w:r w:rsidRPr="00CC2423">
        <w:rPr>
          <w:noProof/>
        </w:rPr>
        <w:drawing>
          <wp:inline distT="0" distB="0" distL="0" distR="0">
            <wp:extent cx="1880500" cy="1615440"/>
            <wp:effectExtent l="19050" t="0" r="5450" b="0"/>
            <wp:docPr id="2" name="Picture 0" descr="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ra_national_university_peshawar_logo.png"/>
                    <pic:cNvPicPr/>
                  </pic:nvPicPr>
                  <pic:blipFill>
                    <a:blip r:embed="rId5" cstate="print"/>
                    <a:stretch>
                      <a:fillRect/>
                    </a:stretch>
                  </pic:blipFill>
                  <pic:spPr>
                    <a:xfrm>
                      <a:off x="0" y="0"/>
                      <a:ext cx="1880500" cy="1615440"/>
                    </a:xfrm>
                    <a:prstGeom prst="rect">
                      <a:avLst/>
                    </a:prstGeom>
                  </pic:spPr>
                </pic:pic>
              </a:graphicData>
            </a:graphic>
          </wp:inline>
        </w:drawing>
      </w:r>
    </w:p>
    <w:p w:rsidR="004773F0" w:rsidRPr="00CC2423" w:rsidRDefault="004773F0"/>
    <w:tbl>
      <w:tblPr>
        <w:tblpPr w:leftFromText="180" w:rightFromText="180" w:vertAnchor="text" w:horzAnchor="margin" w:tblpY="-37"/>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6"/>
      </w:tblGrid>
      <w:tr w:rsidR="000D542F" w:rsidRPr="00CC2423" w:rsidTr="000D542F">
        <w:trPr>
          <w:trHeight w:val="1260"/>
        </w:trPr>
        <w:tc>
          <w:tcPr>
            <w:tcW w:w="9696" w:type="dxa"/>
            <w:shd w:val="clear" w:color="auto" w:fill="948A54" w:themeFill="background2" w:themeFillShade="80"/>
          </w:tcPr>
          <w:p w:rsidR="000D542F" w:rsidRPr="00CC2423" w:rsidRDefault="000D542F" w:rsidP="000D542F">
            <w:pPr>
              <w:ind w:left="336"/>
            </w:pPr>
          </w:p>
          <w:p w:rsidR="000D542F" w:rsidRPr="00CC2423" w:rsidRDefault="00F37BEC" w:rsidP="00CC2423">
            <w:pPr>
              <w:ind w:left="336"/>
              <w:jc w:val="center"/>
              <w:rPr>
                <w:b/>
                <w:sz w:val="38"/>
              </w:rPr>
            </w:pPr>
            <w:r w:rsidRPr="00CC2423">
              <w:rPr>
                <w:b/>
                <w:sz w:val="38"/>
              </w:rPr>
              <w:t xml:space="preserve">Course </w:t>
            </w:r>
            <w:proofErr w:type="gramStart"/>
            <w:r w:rsidRPr="00CC2423">
              <w:rPr>
                <w:b/>
                <w:sz w:val="38"/>
              </w:rPr>
              <w:t>Title :</w:t>
            </w:r>
            <w:proofErr w:type="gramEnd"/>
            <w:r w:rsidRPr="00CC2423">
              <w:rPr>
                <w:b/>
                <w:sz w:val="38"/>
              </w:rPr>
              <w:t xml:space="preserve"> Introduction to Sociology</w:t>
            </w:r>
          </w:p>
          <w:p w:rsidR="000D542F" w:rsidRPr="00CC2423" w:rsidRDefault="000D542F" w:rsidP="000D542F">
            <w:pPr>
              <w:ind w:left="336"/>
            </w:pPr>
          </w:p>
        </w:tc>
      </w:tr>
    </w:tbl>
    <w:p w:rsidR="00616206" w:rsidRPr="00CC2423" w:rsidRDefault="00616206"/>
    <w:p w:rsidR="00616206" w:rsidRPr="00CC2423" w:rsidRDefault="00616206"/>
    <w:p w:rsidR="00616206" w:rsidRPr="00CC2423" w:rsidRDefault="00616206"/>
    <w:p w:rsidR="00616206" w:rsidRPr="00CC2423" w:rsidRDefault="00616206"/>
    <w:p w:rsidR="00616206" w:rsidRPr="00CC2423" w:rsidRDefault="004773F0">
      <w:r w:rsidRPr="00CC2423">
        <w:t xml:space="preserve">                                    </w:t>
      </w:r>
    </w:p>
    <w:p w:rsidR="00616206" w:rsidRPr="00CC2423" w:rsidRDefault="00616206"/>
    <w:p w:rsidR="000D542F" w:rsidRPr="00CC2423" w:rsidRDefault="000D542F"/>
    <w:tbl>
      <w:tblPr>
        <w:tblpPr w:leftFromText="180" w:rightFromText="180" w:vertAnchor="text" w:horzAnchor="margin" w:tblpY="1569"/>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48A54" w:themeFill="background2" w:themeFillShade="80"/>
        <w:tblLook w:val="0000" w:firstRow="0" w:lastRow="0" w:firstColumn="0" w:lastColumn="0" w:noHBand="0" w:noVBand="0"/>
      </w:tblPr>
      <w:tblGrid>
        <w:gridCol w:w="9216"/>
      </w:tblGrid>
      <w:tr w:rsidR="000D542F" w:rsidRPr="00CC2423" w:rsidTr="000D542F">
        <w:trPr>
          <w:trHeight w:val="1920"/>
        </w:trPr>
        <w:tc>
          <w:tcPr>
            <w:tcW w:w="9216" w:type="dxa"/>
            <w:shd w:val="clear" w:color="auto" w:fill="948A54" w:themeFill="background2" w:themeFillShade="80"/>
          </w:tcPr>
          <w:p w:rsidR="000D542F" w:rsidRPr="00CC2423" w:rsidRDefault="000D542F" w:rsidP="000D542F">
            <w:pPr>
              <w:ind w:left="156"/>
            </w:pPr>
          </w:p>
          <w:p w:rsidR="000D542F" w:rsidRPr="00CC2423" w:rsidRDefault="000D542F" w:rsidP="000D542F">
            <w:pPr>
              <w:ind w:left="156"/>
              <w:rPr>
                <w:b/>
                <w:sz w:val="38"/>
              </w:rPr>
            </w:pPr>
            <w:r w:rsidRPr="00CC2423">
              <w:rPr>
                <w:b/>
                <w:sz w:val="38"/>
              </w:rPr>
              <w:t>INU-School of Management and Social Sciences</w:t>
            </w:r>
          </w:p>
          <w:p w:rsidR="000D542F" w:rsidRPr="00CC2423" w:rsidRDefault="000D542F" w:rsidP="000D542F">
            <w:pPr>
              <w:ind w:left="156"/>
            </w:pPr>
          </w:p>
          <w:p w:rsidR="000D542F" w:rsidRPr="00CC2423" w:rsidRDefault="000D542F" w:rsidP="000D542F">
            <w:pPr>
              <w:ind w:left="156"/>
            </w:pPr>
          </w:p>
        </w:tc>
      </w:tr>
    </w:tbl>
    <w:p w:rsidR="00EA7FA7" w:rsidRPr="00CC2423" w:rsidRDefault="004773F0">
      <w:r w:rsidRPr="00CC2423">
        <w:t xml:space="preserve">                                                                            </w:t>
      </w:r>
    </w:p>
    <w:p w:rsidR="000D542F" w:rsidRPr="00CC2423" w:rsidRDefault="000D542F"/>
    <w:p w:rsidR="000D542F" w:rsidRPr="00CC2423" w:rsidRDefault="000D542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4"/>
      </w:tblGrid>
      <w:tr w:rsidR="00F36E65" w:rsidRPr="00CC2423" w:rsidTr="00F36E65">
        <w:trPr>
          <w:trHeight w:val="492"/>
        </w:trPr>
        <w:tc>
          <w:tcPr>
            <w:tcW w:w="9384" w:type="dxa"/>
            <w:shd w:val="clear" w:color="auto" w:fill="948A54" w:themeFill="background2" w:themeFillShade="80"/>
          </w:tcPr>
          <w:p w:rsidR="00F36E65" w:rsidRPr="00CC2423" w:rsidRDefault="00F36E65" w:rsidP="00F36E65">
            <w:pPr>
              <w:ind w:left="96"/>
              <w:rPr>
                <w:rFonts w:cs="Times New Roman"/>
                <w:b/>
                <w:u w:val="single"/>
              </w:rPr>
            </w:pPr>
            <w:r w:rsidRPr="00CC2423">
              <w:rPr>
                <w:rFonts w:cs="Times New Roman"/>
                <w:b/>
                <w:u w:val="single"/>
              </w:rPr>
              <w:lastRenderedPageBreak/>
              <w:t>Course Details:</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7FA7" w:rsidRPr="00CC2423" w:rsidTr="00EA7FA7">
        <w:tc>
          <w:tcPr>
            <w:tcW w:w="9576" w:type="dxa"/>
            <w:gridSpan w:val="2"/>
            <w:shd w:val="clear" w:color="auto" w:fill="FFFFFF"/>
          </w:tcPr>
          <w:p w:rsidR="00CC2423" w:rsidRDefault="00CC2423" w:rsidP="00EA7FA7">
            <w:pPr>
              <w:rPr>
                <w:rFonts w:eastAsia="Calibri" w:cs="Times New Roman"/>
              </w:rPr>
            </w:pPr>
          </w:p>
          <w:p w:rsidR="00EA7FA7" w:rsidRPr="00CC2423" w:rsidRDefault="00EA7FA7" w:rsidP="00EA7FA7">
            <w:pPr>
              <w:rPr>
                <w:rFonts w:eastAsia="Calibri" w:cs="Times New Roman"/>
              </w:rPr>
            </w:pPr>
            <w:r w:rsidRPr="00CC2423">
              <w:rPr>
                <w:rFonts w:eastAsia="Calibri" w:cs="Times New Roman"/>
              </w:rPr>
              <w:t xml:space="preserve">Course Title: </w:t>
            </w:r>
            <w:r w:rsidR="00F37BEC" w:rsidRPr="00CC2423">
              <w:rPr>
                <w:rFonts w:eastAsia="Calibri" w:cs="Times New Roman"/>
              </w:rPr>
              <w:t>Introduction to Sociology</w:t>
            </w:r>
          </w:p>
        </w:tc>
      </w:tr>
      <w:tr w:rsidR="00EA7FA7" w:rsidRPr="00CC2423" w:rsidTr="005F3E55">
        <w:tc>
          <w:tcPr>
            <w:tcW w:w="4788" w:type="dxa"/>
          </w:tcPr>
          <w:p w:rsidR="00EA7FA7" w:rsidRPr="00CC2423" w:rsidRDefault="00EA7FA7" w:rsidP="00EA7FA7">
            <w:pPr>
              <w:rPr>
                <w:rFonts w:eastAsia="Calibri" w:cs="Times New Roman"/>
              </w:rPr>
            </w:pPr>
            <w:r w:rsidRPr="00CC2423">
              <w:rPr>
                <w:rFonts w:eastAsia="Calibri" w:cs="Times New Roman"/>
              </w:rPr>
              <w:t xml:space="preserve">Course Code: </w:t>
            </w:r>
            <w:r w:rsidR="00F37BEC" w:rsidRPr="00CC2423">
              <w:rPr>
                <w:rFonts w:eastAsia="Calibri" w:cs="Times New Roman"/>
              </w:rPr>
              <w:t>1002</w:t>
            </w:r>
          </w:p>
        </w:tc>
        <w:tc>
          <w:tcPr>
            <w:tcW w:w="4788" w:type="dxa"/>
          </w:tcPr>
          <w:p w:rsidR="00EA7FA7" w:rsidRPr="00CC2423" w:rsidRDefault="00EA7FA7" w:rsidP="00EA7FA7">
            <w:pPr>
              <w:rPr>
                <w:rFonts w:eastAsia="Calibri" w:cs="Times New Roman"/>
              </w:rPr>
            </w:pPr>
            <w:r w:rsidRPr="00CC2423">
              <w:rPr>
                <w:rFonts w:eastAsia="Calibri" w:cs="Times New Roman"/>
              </w:rPr>
              <w:t xml:space="preserve">Prerequisite:  </w:t>
            </w:r>
            <w:r w:rsidR="00F37BEC" w:rsidRPr="00CC2423">
              <w:rPr>
                <w:rFonts w:eastAsia="Calibri" w:cs="Times New Roman"/>
              </w:rPr>
              <w:t>None.</w:t>
            </w:r>
          </w:p>
        </w:tc>
      </w:tr>
      <w:tr w:rsidR="00EA7FA7" w:rsidRPr="00CC2423" w:rsidTr="005F3E55">
        <w:tc>
          <w:tcPr>
            <w:tcW w:w="4788" w:type="dxa"/>
          </w:tcPr>
          <w:p w:rsidR="00EA7FA7" w:rsidRPr="00CC2423" w:rsidRDefault="00F37BEC" w:rsidP="00EA7FA7">
            <w:pPr>
              <w:rPr>
                <w:rFonts w:eastAsia="Calibri" w:cs="Times New Roman"/>
              </w:rPr>
            </w:pPr>
            <w:r w:rsidRPr="00CC2423">
              <w:rPr>
                <w:rFonts w:eastAsia="Calibri" w:cs="Times New Roman"/>
              </w:rPr>
              <w:t xml:space="preserve">Program: </w:t>
            </w:r>
            <w:r w:rsidR="00EA7FA7" w:rsidRPr="00CC2423">
              <w:rPr>
                <w:rFonts w:eastAsia="Calibri" w:cs="Times New Roman"/>
              </w:rPr>
              <w:t>BBA</w:t>
            </w:r>
            <w:r w:rsidR="00E402EB">
              <w:rPr>
                <w:rFonts w:eastAsia="Calibri" w:cs="Times New Roman"/>
              </w:rPr>
              <w:t xml:space="preserve"> </w:t>
            </w:r>
          </w:p>
        </w:tc>
        <w:tc>
          <w:tcPr>
            <w:tcW w:w="4788" w:type="dxa"/>
          </w:tcPr>
          <w:p w:rsidR="00EA7FA7" w:rsidRPr="00CC2423" w:rsidRDefault="00EA7FA7" w:rsidP="00EA7FA7">
            <w:pPr>
              <w:rPr>
                <w:rFonts w:eastAsia="Calibri" w:cs="Times New Roman"/>
              </w:rPr>
            </w:pPr>
            <w:r w:rsidRPr="00CC2423">
              <w:rPr>
                <w:rFonts w:eastAsia="Calibri" w:cs="Times New Roman"/>
              </w:rPr>
              <w:t>Credit Hours: 3</w:t>
            </w:r>
          </w:p>
        </w:tc>
      </w:tr>
    </w:tbl>
    <w:p w:rsidR="00353817" w:rsidRPr="00CC2423" w:rsidRDefault="00353817">
      <w:pPr>
        <w:rPr>
          <w:rFonts w:cs="Times New Roman"/>
        </w:rPr>
      </w:pPr>
    </w:p>
    <w:tbl>
      <w:tblPr>
        <w:tblStyle w:val="TableGrid"/>
        <w:tblW w:w="0" w:type="auto"/>
        <w:tblLook w:val="0000" w:firstRow="0" w:lastRow="0" w:firstColumn="0" w:lastColumn="0" w:noHBand="0" w:noVBand="0"/>
      </w:tblPr>
      <w:tblGrid>
        <w:gridCol w:w="9324"/>
        <w:gridCol w:w="252"/>
      </w:tblGrid>
      <w:tr w:rsidR="00F36E65" w:rsidRPr="00CC2423" w:rsidTr="00F36E65">
        <w:trPr>
          <w:gridAfter w:val="1"/>
          <w:wAfter w:w="252" w:type="dxa"/>
          <w:trHeight w:val="540"/>
        </w:trPr>
        <w:tc>
          <w:tcPr>
            <w:tcW w:w="9324" w:type="dxa"/>
            <w:shd w:val="clear" w:color="auto" w:fill="948A54" w:themeFill="background2" w:themeFillShade="80"/>
          </w:tcPr>
          <w:p w:rsidR="00F36E65" w:rsidRPr="00CC2423" w:rsidRDefault="00F36E65" w:rsidP="00F36E65">
            <w:pPr>
              <w:ind w:left="108"/>
              <w:rPr>
                <w:rFonts w:cs="Times New Roman"/>
                <w:b/>
                <w:u w:val="single"/>
              </w:rPr>
            </w:pPr>
            <w:r w:rsidRPr="00CC2423">
              <w:rPr>
                <w:rFonts w:cs="Times New Roman"/>
                <w:b/>
                <w:u w:val="single"/>
              </w:rPr>
              <w:t>Course Faculty:</w:t>
            </w:r>
          </w:p>
        </w:tc>
      </w:tr>
      <w:tr w:rsidR="00EA7FA7" w:rsidRPr="00CC2423"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9576" w:type="dxa"/>
            <w:gridSpan w:val="2"/>
          </w:tcPr>
          <w:p w:rsidR="00F36E65" w:rsidRPr="00CC2423" w:rsidRDefault="00F36E65" w:rsidP="005F3E55">
            <w:pPr>
              <w:rPr>
                <w:rFonts w:cs="Times New Roman"/>
              </w:rPr>
            </w:pPr>
          </w:p>
          <w:p w:rsidR="00EA7FA7" w:rsidRPr="00CC2423" w:rsidRDefault="00EA7FA7" w:rsidP="005F3E55">
            <w:pPr>
              <w:rPr>
                <w:rFonts w:cs="Times New Roman"/>
              </w:rPr>
            </w:pPr>
            <w:r w:rsidRPr="00CC2423">
              <w:rPr>
                <w:rFonts w:cs="Times New Roman"/>
              </w:rPr>
              <w:t>Ms</w:t>
            </w:r>
            <w:r w:rsidR="00F37BEC" w:rsidRPr="00CC2423">
              <w:rPr>
                <w:rFonts w:cs="Times New Roman"/>
              </w:rPr>
              <w:t>. Sameen Shah</w:t>
            </w:r>
          </w:p>
        </w:tc>
      </w:tr>
      <w:tr w:rsidR="00EA7FA7" w:rsidRPr="00CC2423"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576" w:type="dxa"/>
            <w:gridSpan w:val="2"/>
          </w:tcPr>
          <w:p w:rsidR="00EA7FA7" w:rsidRPr="00CC2423" w:rsidRDefault="00F37BEC" w:rsidP="005F3E55">
            <w:pPr>
              <w:rPr>
                <w:rFonts w:cs="Times New Roman"/>
              </w:rPr>
            </w:pPr>
            <w:r w:rsidRPr="00CC2423">
              <w:rPr>
                <w:rFonts w:cs="Times New Roman"/>
              </w:rPr>
              <w:t>Office: Faculty Block, First F</w:t>
            </w:r>
            <w:r w:rsidR="00EA7FA7" w:rsidRPr="00CC2423">
              <w:rPr>
                <w:rFonts w:cs="Times New Roman"/>
              </w:rPr>
              <w:t>loor, INU</w:t>
            </w:r>
          </w:p>
        </w:tc>
      </w:tr>
      <w:tr w:rsidR="00EA7FA7" w:rsidRPr="00CC2423"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576" w:type="dxa"/>
            <w:gridSpan w:val="2"/>
          </w:tcPr>
          <w:p w:rsidR="00EA7FA7" w:rsidRPr="00CC2423" w:rsidRDefault="00EA7FA7" w:rsidP="00F37BEC">
            <w:pPr>
              <w:rPr>
                <w:rFonts w:cs="Times New Roman"/>
              </w:rPr>
            </w:pPr>
            <w:r w:rsidRPr="00CC2423">
              <w:rPr>
                <w:rFonts w:cs="Times New Roman"/>
              </w:rPr>
              <w:t>Office</w:t>
            </w:r>
            <w:r w:rsidR="009F7733" w:rsidRPr="00CC2423">
              <w:rPr>
                <w:rFonts w:cs="Times New Roman"/>
              </w:rPr>
              <w:t xml:space="preserve"> Visiting </w:t>
            </w:r>
            <w:r w:rsidR="00F37BEC" w:rsidRPr="00CC2423">
              <w:rPr>
                <w:rFonts w:cs="Times New Roman"/>
              </w:rPr>
              <w:t xml:space="preserve"> Hours: 11:00 am – 12:00</w:t>
            </w:r>
            <w:r w:rsidRPr="00CC2423">
              <w:rPr>
                <w:rFonts w:cs="Times New Roman"/>
              </w:rPr>
              <w:t xml:space="preserve"> pm </w:t>
            </w:r>
          </w:p>
        </w:tc>
      </w:tr>
      <w:tr w:rsidR="00EA7FA7" w:rsidRPr="00CC2423"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576" w:type="dxa"/>
            <w:gridSpan w:val="2"/>
          </w:tcPr>
          <w:p w:rsidR="00EA7FA7" w:rsidRPr="00CC2423" w:rsidRDefault="00EA7FA7" w:rsidP="005F3E55">
            <w:pPr>
              <w:rPr>
                <w:rFonts w:cs="Times New Roman"/>
              </w:rPr>
            </w:pPr>
          </w:p>
        </w:tc>
      </w:tr>
      <w:tr w:rsidR="00EA7FA7" w:rsidRPr="00CC2423"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576" w:type="dxa"/>
            <w:gridSpan w:val="2"/>
          </w:tcPr>
          <w:p w:rsidR="00EA7FA7" w:rsidRPr="00CC2423" w:rsidRDefault="00F37BEC" w:rsidP="005F3E55">
            <w:pPr>
              <w:rPr>
                <w:rFonts w:cs="Times New Roman"/>
              </w:rPr>
            </w:pPr>
            <w:r w:rsidRPr="00CC2423">
              <w:rPr>
                <w:rFonts w:cs="Times New Roman"/>
              </w:rPr>
              <w:t xml:space="preserve">Email: </w:t>
            </w:r>
            <w:hyperlink r:id="rId6" w:history="1">
              <w:r w:rsidRPr="00CC2423">
                <w:rPr>
                  <w:rStyle w:val="Hyperlink"/>
                  <w:rFonts w:cs="Times New Roman"/>
                </w:rPr>
                <w:t>sameen.shah@ymail.com</w:t>
              </w:r>
            </w:hyperlink>
          </w:p>
          <w:p w:rsidR="00EA7FA7" w:rsidRPr="00CC2423" w:rsidRDefault="00EA7FA7" w:rsidP="005F3E55">
            <w:pPr>
              <w:rPr>
                <w:rFonts w:cs="Times New Roman"/>
              </w:rPr>
            </w:pPr>
          </w:p>
        </w:tc>
      </w:tr>
      <w:tr w:rsidR="00F37BEC" w:rsidRPr="00CC2423"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576" w:type="dxa"/>
            <w:gridSpan w:val="2"/>
          </w:tcPr>
          <w:tbl>
            <w:tblPr>
              <w:tblStyle w:val="TableGrid"/>
              <w:tblpPr w:leftFromText="180" w:rightFromText="180" w:vertAnchor="text" w:horzAnchor="margin" w:tblpY="86"/>
              <w:tblW w:w="0" w:type="auto"/>
              <w:tblLook w:val="0000" w:firstRow="0" w:lastRow="0" w:firstColumn="0" w:lastColumn="0" w:noHBand="0" w:noVBand="0"/>
            </w:tblPr>
            <w:tblGrid>
              <w:gridCol w:w="9324"/>
            </w:tblGrid>
            <w:tr w:rsidR="00F37BEC" w:rsidRPr="00CC2423" w:rsidTr="00F37BEC">
              <w:trPr>
                <w:trHeight w:val="540"/>
              </w:trPr>
              <w:tc>
                <w:tcPr>
                  <w:tcW w:w="9324" w:type="dxa"/>
                  <w:shd w:val="clear" w:color="auto" w:fill="948A54" w:themeFill="background2" w:themeFillShade="80"/>
                </w:tcPr>
                <w:p w:rsidR="00F37BEC" w:rsidRPr="00CC2423" w:rsidRDefault="00F37BEC" w:rsidP="003D029C">
                  <w:pPr>
                    <w:ind w:left="108"/>
                    <w:rPr>
                      <w:rFonts w:cs="Times New Roman"/>
                      <w:b/>
                      <w:u w:val="single"/>
                    </w:rPr>
                  </w:pPr>
                  <w:r w:rsidRPr="00CC2423">
                    <w:rPr>
                      <w:rFonts w:cs="Times New Roman"/>
                      <w:b/>
                      <w:u w:val="single"/>
                    </w:rPr>
                    <w:t>Course Description:</w:t>
                  </w:r>
                </w:p>
              </w:tc>
            </w:tr>
          </w:tbl>
          <w:p w:rsidR="00F37BEC" w:rsidRPr="00CC2423" w:rsidRDefault="00F37BEC" w:rsidP="005F3E55">
            <w:pPr>
              <w:rPr>
                <w:rFonts w:cs="Times New Roman"/>
              </w:rPr>
            </w:pPr>
          </w:p>
        </w:tc>
      </w:tr>
    </w:tbl>
    <w:p w:rsidR="00EA7FA7" w:rsidRPr="00CC2423" w:rsidRDefault="00EA7FA7">
      <w:pPr>
        <w:rPr>
          <w:rFonts w:cs="Times New Roman"/>
        </w:rPr>
      </w:pPr>
    </w:p>
    <w:p w:rsidR="00F37BEC" w:rsidRPr="00CC2423" w:rsidRDefault="00F37BEC">
      <w:pPr>
        <w:rPr>
          <w:rFonts w:cs="Times New Roman"/>
        </w:rPr>
      </w:pPr>
      <w:r w:rsidRPr="00CC2423">
        <w:t xml:space="preserve">This course will introduce students to the comparative study of social groups, classes and institutions through a sampling of theories, concepts, and perspectives from classical and contemporary </w:t>
      </w:r>
      <w:r w:rsidR="00CC2423">
        <w:t xml:space="preserve">sociology. The </w:t>
      </w:r>
      <w:r w:rsidRPr="00CC2423">
        <w:t>students will learn how to develop a ‘sociological imagination,’ gaining skills that will allow them to connect every-day, often taken-for-granted experiences and circumstances to historical conditions. Rather than seeing one’s life as strictly an outcome of personal choices and decisions, this course will help students to see how we are situated within wider social and cultural contexts that shape our experiences and cultivate our identities and knowledge about the world. While developing their ability to see relational connections, students will learn to identify how local activities often have global repercussions, and vice versa.</w:t>
      </w:r>
    </w:p>
    <w:p w:rsidR="00EA7FA7" w:rsidRPr="00CC2423" w:rsidRDefault="00EA7FA7">
      <w:pPr>
        <w:rPr>
          <w:rFonts w:cs="Times New Roman"/>
        </w:rPr>
      </w:pPr>
    </w:p>
    <w:tbl>
      <w:tblPr>
        <w:tblStyle w:val="TableGrid"/>
        <w:tblW w:w="0" w:type="auto"/>
        <w:tblLook w:val="0000" w:firstRow="0" w:lastRow="0" w:firstColumn="0" w:lastColumn="0" w:noHBand="0" w:noVBand="0"/>
      </w:tblPr>
      <w:tblGrid>
        <w:gridCol w:w="9324"/>
      </w:tblGrid>
      <w:tr w:rsidR="00F36E65" w:rsidRPr="00CC2423" w:rsidTr="005F3E55">
        <w:trPr>
          <w:trHeight w:val="540"/>
        </w:trPr>
        <w:tc>
          <w:tcPr>
            <w:tcW w:w="9324" w:type="dxa"/>
            <w:shd w:val="clear" w:color="auto" w:fill="948A54" w:themeFill="background2" w:themeFillShade="80"/>
          </w:tcPr>
          <w:p w:rsidR="00F36E65" w:rsidRPr="00CC2423" w:rsidRDefault="00F36E65" w:rsidP="005F3E55">
            <w:pPr>
              <w:ind w:left="108"/>
              <w:rPr>
                <w:rFonts w:cs="Times New Roman"/>
                <w:b/>
                <w:u w:val="single"/>
              </w:rPr>
            </w:pPr>
            <w:r w:rsidRPr="00CC2423">
              <w:rPr>
                <w:rFonts w:cs="Times New Roman"/>
                <w:b/>
                <w:u w:val="single"/>
              </w:rPr>
              <w:t>Course Objectives:</w:t>
            </w:r>
          </w:p>
        </w:tc>
      </w:tr>
    </w:tbl>
    <w:p w:rsidR="00EA7FA7" w:rsidRDefault="00EA7FA7" w:rsidP="007C2BEB">
      <w:pPr>
        <w:tabs>
          <w:tab w:val="left" w:pos="1080"/>
        </w:tabs>
        <w:spacing w:after="0" w:line="240" w:lineRule="auto"/>
        <w:rPr>
          <w:rFonts w:cs="Times New Roman"/>
          <w:bCs/>
        </w:rPr>
      </w:pPr>
    </w:p>
    <w:p w:rsidR="007C2BEB" w:rsidRDefault="007C2BEB" w:rsidP="007C2BEB">
      <w:pPr>
        <w:tabs>
          <w:tab w:val="left" w:pos="1080"/>
        </w:tabs>
        <w:spacing w:after="0" w:line="240" w:lineRule="auto"/>
        <w:rPr>
          <w:rFonts w:cs="Times New Roman"/>
          <w:bCs/>
        </w:rPr>
      </w:pPr>
      <w:r>
        <w:rPr>
          <w:rFonts w:cs="Times New Roman"/>
          <w:bCs/>
        </w:rPr>
        <w:t>The main objectives of the course are:</w:t>
      </w:r>
    </w:p>
    <w:p w:rsidR="007C2BEB" w:rsidRDefault="007C2BEB" w:rsidP="007C2BEB">
      <w:pPr>
        <w:tabs>
          <w:tab w:val="left" w:pos="1080"/>
        </w:tabs>
        <w:spacing w:after="0" w:line="240" w:lineRule="auto"/>
        <w:rPr>
          <w:rFonts w:cs="Times New Roman"/>
          <w:bCs/>
        </w:rPr>
      </w:pPr>
    </w:p>
    <w:p w:rsidR="007C2BEB" w:rsidRDefault="007C2BEB" w:rsidP="007C2BEB">
      <w:pPr>
        <w:pStyle w:val="ListParagraph"/>
        <w:numPr>
          <w:ilvl w:val="0"/>
          <w:numId w:val="4"/>
        </w:numPr>
        <w:tabs>
          <w:tab w:val="left" w:pos="1080"/>
        </w:tabs>
        <w:spacing w:after="0" w:line="240" w:lineRule="auto"/>
        <w:rPr>
          <w:rFonts w:cs="Times New Roman"/>
          <w:bCs/>
        </w:rPr>
      </w:pPr>
      <w:r>
        <w:rPr>
          <w:rFonts w:cs="Times New Roman"/>
          <w:bCs/>
        </w:rPr>
        <w:t>To prepare students to lead ethical, productive and creative lives and to understand how the pursuit of lifelong learning and critical thinking fosters good citizenship.</w:t>
      </w:r>
    </w:p>
    <w:p w:rsidR="007C2BEB" w:rsidRDefault="007C2BEB" w:rsidP="007C2BEB">
      <w:pPr>
        <w:pStyle w:val="ListParagraph"/>
        <w:numPr>
          <w:ilvl w:val="0"/>
          <w:numId w:val="4"/>
        </w:numPr>
        <w:tabs>
          <w:tab w:val="left" w:pos="1080"/>
        </w:tabs>
        <w:spacing w:after="0" w:line="240" w:lineRule="auto"/>
        <w:rPr>
          <w:rFonts w:cs="Times New Roman"/>
          <w:bCs/>
        </w:rPr>
      </w:pPr>
      <w:r>
        <w:rPr>
          <w:rFonts w:cs="Times New Roman"/>
          <w:bCs/>
        </w:rPr>
        <w:t>To provide a coherent intellectual experience for all students by introducing the fundamental concepts and methods of inquiry in the areas of social psychology where they will enhance their abilities to analyze a social situation in its socio-economic and political environment.</w:t>
      </w:r>
    </w:p>
    <w:p w:rsidR="007C2BEB" w:rsidRPr="009C6904" w:rsidRDefault="006C3BB3" w:rsidP="009C6904">
      <w:pPr>
        <w:pStyle w:val="ListParagraph"/>
        <w:numPr>
          <w:ilvl w:val="0"/>
          <w:numId w:val="4"/>
        </w:numPr>
        <w:tabs>
          <w:tab w:val="left" w:pos="1080"/>
        </w:tabs>
        <w:spacing w:after="0" w:line="240" w:lineRule="auto"/>
        <w:rPr>
          <w:rFonts w:cs="Times New Roman"/>
          <w:bCs/>
        </w:rPr>
      </w:pPr>
      <w:r w:rsidRPr="009C6904">
        <w:rPr>
          <w:rFonts w:cs="Times New Roman"/>
          <w:bCs/>
        </w:rPr>
        <w:t>To examine key social issues – economy, polity, family, religion etc. – from a sociological perspective.</w:t>
      </w:r>
    </w:p>
    <w:p w:rsidR="007C2BEB" w:rsidRPr="007C2BEB" w:rsidRDefault="007C2BEB" w:rsidP="007C2BEB">
      <w:pPr>
        <w:tabs>
          <w:tab w:val="left" w:pos="1080"/>
        </w:tabs>
        <w:spacing w:after="0" w:line="240" w:lineRule="auto"/>
        <w:ind w:left="360"/>
        <w:rPr>
          <w:rFonts w:cs="Times New Roman"/>
          <w:bCs/>
        </w:rPr>
      </w:pPr>
    </w:p>
    <w:tbl>
      <w:tblPr>
        <w:tblpPr w:leftFromText="180" w:rightFromText="180" w:vertAnchor="text" w:horzAnchor="margin"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4"/>
      </w:tblGrid>
      <w:tr w:rsidR="009C6904" w:rsidRPr="00CC2423" w:rsidTr="009C6904">
        <w:trPr>
          <w:trHeight w:val="420"/>
        </w:trPr>
        <w:tc>
          <w:tcPr>
            <w:tcW w:w="9444" w:type="dxa"/>
            <w:shd w:val="clear" w:color="auto" w:fill="948A54" w:themeFill="background2" w:themeFillShade="80"/>
          </w:tcPr>
          <w:p w:rsidR="009C6904" w:rsidRPr="00CC2423" w:rsidRDefault="009C6904" w:rsidP="009C6904">
            <w:pPr>
              <w:tabs>
                <w:tab w:val="left" w:pos="1080"/>
              </w:tabs>
              <w:spacing w:after="0" w:line="240" w:lineRule="auto"/>
              <w:ind w:left="408"/>
              <w:rPr>
                <w:rFonts w:cs="Times New Roman"/>
                <w:b/>
                <w:bCs/>
                <w:u w:val="single"/>
              </w:rPr>
            </w:pPr>
            <w:r w:rsidRPr="00CC2423">
              <w:rPr>
                <w:rFonts w:cs="Times New Roman"/>
                <w:b/>
                <w:bCs/>
                <w:u w:val="single"/>
              </w:rPr>
              <w:lastRenderedPageBreak/>
              <w:t>Learning Outcomes:</w:t>
            </w:r>
          </w:p>
        </w:tc>
      </w:tr>
    </w:tbl>
    <w:p w:rsidR="00EA7FA7" w:rsidRPr="00CC2423" w:rsidRDefault="00EA7FA7" w:rsidP="00EA7FA7">
      <w:pPr>
        <w:tabs>
          <w:tab w:val="left" w:pos="1080"/>
        </w:tabs>
        <w:spacing w:after="0" w:line="240" w:lineRule="auto"/>
        <w:ind w:left="360"/>
        <w:rPr>
          <w:rFonts w:cs="Times New Roman"/>
          <w:bCs/>
        </w:rPr>
      </w:pPr>
    </w:p>
    <w:p w:rsidR="001707CC" w:rsidRDefault="001707CC" w:rsidP="009C6904">
      <w:pPr>
        <w:tabs>
          <w:tab w:val="left" w:pos="1080"/>
        </w:tabs>
        <w:jc w:val="both"/>
        <w:rPr>
          <w:rFonts w:cs="Times New Roman"/>
          <w:bCs/>
        </w:rPr>
      </w:pPr>
      <w:r w:rsidRPr="009C6904">
        <w:rPr>
          <w:rFonts w:cs="Times New Roman"/>
          <w:bCs/>
        </w:rPr>
        <w:t xml:space="preserve">By the end of this course, </w:t>
      </w:r>
      <w:r w:rsidR="009C6904">
        <w:rPr>
          <w:rFonts w:cs="Times New Roman"/>
          <w:bCs/>
        </w:rPr>
        <w:t>the students should be able to</w:t>
      </w:r>
    </w:p>
    <w:p w:rsidR="009C6904" w:rsidRDefault="009C6904" w:rsidP="009C6904">
      <w:pPr>
        <w:pStyle w:val="ListParagraph"/>
        <w:numPr>
          <w:ilvl w:val="0"/>
          <w:numId w:val="5"/>
        </w:numPr>
        <w:tabs>
          <w:tab w:val="left" w:pos="1080"/>
        </w:tabs>
        <w:jc w:val="both"/>
        <w:rPr>
          <w:rFonts w:cs="Times New Roman"/>
          <w:bCs/>
        </w:rPr>
      </w:pPr>
      <w:r>
        <w:rPr>
          <w:rFonts w:cs="Times New Roman"/>
          <w:bCs/>
        </w:rPr>
        <w:t>Identify the major analytical frameworks and theoretical perspectives in Sociology and describe their differences in levels of analysis and explanatory assumptions.</w:t>
      </w:r>
    </w:p>
    <w:p w:rsidR="009C6904" w:rsidRDefault="009C6904" w:rsidP="009C6904">
      <w:pPr>
        <w:pStyle w:val="ListParagraph"/>
        <w:numPr>
          <w:ilvl w:val="0"/>
          <w:numId w:val="5"/>
        </w:numPr>
        <w:tabs>
          <w:tab w:val="left" w:pos="1080"/>
        </w:tabs>
        <w:jc w:val="both"/>
        <w:rPr>
          <w:rFonts w:cs="Times New Roman"/>
          <w:bCs/>
        </w:rPr>
      </w:pPr>
      <w:r>
        <w:rPr>
          <w:rFonts w:cs="Times New Roman"/>
          <w:bCs/>
        </w:rPr>
        <w:t>Identify the components of social structure, especially the concepts of status and role, and explain how social structures shape human belief and behavior.</w:t>
      </w:r>
    </w:p>
    <w:p w:rsidR="009C6904" w:rsidRDefault="009C6904" w:rsidP="009C6904">
      <w:pPr>
        <w:pStyle w:val="ListParagraph"/>
        <w:numPr>
          <w:ilvl w:val="0"/>
          <w:numId w:val="5"/>
        </w:numPr>
        <w:tabs>
          <w:tab w:val="left" w:pos="1080"/>
        </w:tabs>
        <w:jc w:val="both"/>
        <w:rPr>
          <w:rFonts w:cs="Times New Roman"/>
          <w:bCs/>
        </w:rPr>
      </w:pPr>
      <w:r>
        <w:rPr>
          <w:rFonts w:cs="Times New Roman"/>
          <w:bCs/>
        </w:rPr>
        <w:t>Identify key structural agents of socialization and analyze the process by which humans become socialized by these agents throughout their life cycles.</w:t>
      </w:r>
    </w:p>
    <w:p w:rsidR="009C6904" w:rsidRPr="009C6904" w:rsidRDefault="009C6904" w:rsidP="009C6904">
      <w:pPr>
        <w:pStyle w:val="ListParagraph"/>
        <w:numPr>
          <w:ilvl w:val="0"/>
          <w:numId w:val="5"/>
        </w:numPr>
        <w:tabs>
          <w:tab w:val="left" w:pos="1080"/>
        </w:tabs>
        <w:jc w:val="both"/>
        <w:rPr>
          <w:rFonts w:cs="Times New Roman"/>
          <w:bCs/>
        </w:rPr>
      </w:pPr>
      <w:r>
        <w:rPr>
          <w:rFonts w:cs="Times New Roman"/>
          <w:bCs/>
        </w:rPr>
        <w:t>Identify the major dimensions of social stratification including social class, racial and ethnic, as well as gender inequalities and critically evaluate structured inequalities on peoples’ life chances in a Pakistani society.</w:t>
      </w:r>
    </w:p>
    <w:tbl>
      <w:tblPr>
        <w:tblW w:w="97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8"/>
      </w:tblGrid>
      <w:tr w:rsidR="001C7400" w:rsidRPr="00CC2423" w:rsidTr="001C7400">
        <w:trPr>
          <w:trHeight w:val="576"/>
        </w:trPr>
        <w:tc>
          <w:tcPr>
            <w:tcW w:w="9768" w:type="dxa"/>
            <w:tcBorders>
              <w:bottom w:val="single" w:sz="4" w:space="0" w:color="auto"/>
            </w:tcBorders>
            <w:shd w:val="clear" w:color="auto" w:fill="948A54" w:themeFill="background2" w:themeFillShade="80"/>
          </w:tcPr>
          <w:p w:rsidR="001C7400" w:rsidRPr="00CC2423" w:rsidRDefault="001C7400" w:rsidP="001C7400">
            <w:pPr>
              <w:ind w:left="72"/>
              <w:rPr>
                <w:rFonts w:cs="Times New Roman"/>
                <w:b/>
                <w:u w:val="single"/>
              </w:rPr>
            </w:pPr>
            <w:r w:rsidRPr="00CC2423">
              <w:rPr>
                <w:rFonts w:cs="Times New Roman"/>
                <w:b/>
                <w:u w:val="single"/>
              </w:rPr>
              <w:t>Required Course Material:</w:t>
            </w:r>
          </w:p>
        </w:tc>
      </w:tr>
    </w:tbl>
    <w:p w:rsidR="001707CC" w:rsidRDefault="001707CC" w:rsidP="00A17A58">
      <w:pPr>
        <w:jc w:val="both"/>
        <w:rPr>
          <w:rFonts w:cs="Times New Roman"/>
        </w:rPr>
      </w:pPr>
    </w:p>
    <w:p w:rsidR="00A17A58" w:rsidRDefault="00A17A58" w:rsidP="00A17A58">
      <w:pPr>
        <w:pStyle w:val="ListParagraph"/>
        <w:numPr>
          <w:ilvl w:val="0"/>
          <w:numId w:val="8"/>
        </w:numPr>
        <w:jc w:val="both"/>
        <w:rPr>
          <w:rFonts w:cs="Times New Roman"/>
        </w:rPr>
      </w:pPr>
      <w:r>
        <w:rPr>
          <w:rFonts w:cs="Times New Roman"/>
        </w:rPr>
        <w:t>“Sociology” by Paul B. Horton and Chester L. Hunt. 6</w:t>
      </w:r>
      <w:r w:rsidRPr="00A17A58">
        <w:rPr>
          <w:rFonts w:cs="Times New Roman"/>
          <w:vertAlign w:val="superscript"/>
        </w:rPr>
        <w:t>th</w:t>
      </w:r>
      <w:r>
        <w:rPr>
          <w:rFonts w:cs="Times New Roman"/>
        </w:rPr>
        <w:t xml:space="preserve"> Edition. McGraw-Hill International Editions.</w:t>
      </w:r>
    </w:p>
    <w:p w:rsidR="00A17A58" w:rsidRPr="00A17A58" w:rsidRDefault="00A17A58" w:rsidP="00A17A58">
      <w:pPr>
        <w:pStyle w:val="ListParagraph"/>
        <w:numPr>
          <w:ilvl w:val="0"/>
          <w:numId w:val="8"/>
        </w:numPr>
        <w:jc w:val="both"/>
        <w:rPr>
          <w:rFonts w:cs="Times New Roman"/>
        </w:rPr>
      </w:pPr>
      <w:r>
        <w:rPr>
          <w:rFonts w:cs="Times New Roman"/>
        </w:rPr>
        <w:t xml:space="preserve">“Introduction to Sociology” by Ryan T. </w:t>
      </w:r>
      <w:proofErr w:type="spellStart"/>
      <w:r>
        <w:rPr>
          <w:rFonts w:cs="Times New Roman"/>
        </w:rPr>
        <w:t>Cragun</w:t>
      </w:r>
      <w:proofErr w:type="spellEnd"/>
      <w:r>
        <w:rPr>
          <w:rFonts w:cs="Times New Roman"/>
        </w:rPr>
        <w:t xml:space="preserve">, Deborah </w:t>
      </w:r>
      <w:proofErr w:type="spellStart"/>
      <w:r>
        <w:rPr>
          <w:rFonts w:cs="Times New Roman"/>
        </w:rPr>
        <w:t>Cragun</w:t>
      </w:r>
      <w:proofErr w:type="spellEnd"/>
      <w:r>
        <w:rPr>
          <w:rFonts w:cs="Times New Roman"/>
        </w:rPr>
        <w:t xml:space="preserve">, and Piotr </w:t>
      </w:r>
      <w:proofErr w:type="spellStart"/>
      <w:r>
        <w:rPr>
          <w:rFonts w:cs="Times New Roman"/>
        </w:rPr>
        <w:t>Koneiczny</w:t>
      </w:r>
      <w:proofErr w:type="spellEnd"/>
      <w:r>
        <w:rPr>
          <w:rFonts w:cs="Times New Roman"/>
        </w:rPr>
        <w:t xml:space="preserve">. Available </w:t>
      </w:r>
      <w:proofErr w:type="gramStart"/>
      <w:r>
        <w:rPr>
          <w:rFonts w:cs="Times New Roman"/>
        </w:rPr>
        <w:t xml:space="preserve">at </w:t>
      </w:r>
      <w:r w:rsidRPr="00A17A58">
        <w:rPr>
          <w:rFonts w:cs="Times New Roman"/>
        </w:rPr>
        <w:t xml:space="preserve"> http://en.wikibooks.org/wiki/Introduction_to_Sociology</w:t>
      </w:r>
      <w:proofErr w:type="gramEnd"/>
      <w:r>
        <w:rPr>
          <w:rFonts w:cs="Times New Roman"/>
        </w:rPr>
        <w:t>.</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6"/>
      </w:tblGrid>
      <w:tr w:rsidR="001C7400" w:rsidRPr="00CC2423" w:rsidTr="001C7400">
        <w:trPr>
          <w:trHeight w:val="636"/>
        </w:trPr>
        <w:tc>
          <w:tcPr>
            <w:tcW w:w="9816" w:type="dxa"/>
            <w:shd w:val="clear" w:color="auto" w:fill="948A54" w:themeFill="background2" w:themeFillShade="80"/>
          </w:tcPr>
          <w:p w:rsidR="001C7400" w:rsidRPr="00CC2423" w:rsidRDefault="001C7400" w:rsidP="001C7400">
            <w:pPr>
              <w:ind w:left="108"/>
              <w:rPr>
                <w:rFonts w:cs="Times New Roman"/>
                <w:b/>
                <w:u w:val="single"/>
              </w:rPr>
            </w:pPr>
            <w:r w:rsidRPr="00CC2423">
              <w:rPr>
                <w:rFonts w:cs="Times New Roman"/>
                <w:b/>
                <w:u w:val="single"/>
              </w:rPr>
              <w:t>Course Evaluation (Grade Breakup</w:t>
            </w:r>
            <w:r w:rsidRPr="00CC2423">
              <w:rPr>
                <w:rFonts w:cs="Times New Roman"/>
                <w:b/>
              </w:rPr>
              <w:t>)</w:t>
            </w:r>
          </w:p>
        </w:tc>
      </w:tr>
    </w:tbl>
    <w:p w:rsidR="001707CC" w:rsidRPr="00CC2423" w:rsidRDefault="001707CC" w:rsidP="001707CC">
      <w:pPr>
        <w:pStyle w:val="ListParagraph"/>
        <w:ind w:left="1080"/>
        <w:jc w:val="both"/>
        <w:rPr>
          <w:rFonts w:cs="Times New Roman"/>
        </w:rPr>
      </w:pPr>
    </w:p>
    <w:p w:rsidR="001707CC" w:rsidRPr="00CC2423" w:rsidRDefault="00A17A58" w:rsidP="001707CC">
      <w:pPr>
        <w:pStyle w:val="ListParagraph"/>
        <w:ind w:left="1080"/>
        <w:jc w:val="both"/>
        <w:rPr>
          <w:rFonts w:cs="Times New Roman"/>
        </w:rPr>
      </w:pPr>
      <w:r>
        <w:rPr>
          <w:rFonts w:cs="Times New Roman"/>
        </w:rPr>
        <w:t>Mid T</w:t>
      </w:r>
      <w:r w:rsidR="001707CC" w:rsidRPr="00CC2423">
        <w:rPr>
          <w:rFonts w:cs="Times New Roman"/>
        </w:rPr>
        <w:t xml:space="preserve">erm </w:t>
      </w:r>
      <w:r>
        <w:rPr>
          <w:rFonts w:cs="Times New Roman"/>
        </w:rPr>
        <w:t>E</w:t>
      </w:r>
      <w:r w:rsidR="001707CC" w:rsidRPr="00CC2423">
        <w:rPr>
          <w:rFonts w:cs="Times New Roman"/>
        </w:rPr>
        <w:t>xam                              30%</w:t>
      </w:r>
    </w:p>
    <w:p w:rsidR="001707CC" w:rsidRPr="00CC2423" w:rsidRDefault="001707CC" w:rsidP="001707CC">
      <w:pPr>
        <w:pStyle w:val="ListParagraph"/>
        <w:ind w:left="1080"/>
        <w:jc w:val="both"/>
        <w:rPr>
          <w:rFonts w:cs="Times New Roman"/>
        </w:rPr>
      </w:pPr>
      <w:r w:rsidRPr="00CC2423">
        <w:rPr>
          <w:rFonts w:cs="Times New Roman"/>
        </w:rPr>
        <w:t>Final Term Exam                             50%</w:t>
      </w:r>
    </w:p>
    <w:p w:rsidR="001707CC" w:rsidRPr="00CC2423" w:rsidRDefault="00A17A58" w:rsidP="001707CC">
      <w:pPr>
        <w:pStyle w:val="ListParagraph"/>
        <w:ind w:left="1080"/>
        <w:jc w:val="both"/>
        <w:rPr>
          <w:rFonts w:cs="Times New Roman"/>
        </w:rPr>
      </w:pPr>
      <w:r>
        <w:rPr>
          <w:rFonts w:cs="Times New Roman"/>
        </w:rPr>
        <w:t xml:space="preserve">Term Paper         </w:t>
      </w:r>
      <w:r w:rsidR="001707CC" w:rsidRPr="00CC2423">
        <w:rPr>
          <w:rFonts w:cs="Times New Roman"/>
        </w:rPr>
        <w:t xml:space="preserve">                            10%</w:t>
      </w:r>
    </w:p>
    <w:p w:rsidR="001707CC" w:rsidRPr="00CC2423" w:rsidRDefault="001707CC" w:rsidP="001707CC">
      <w:pPr>
        <w:pStyle w:val="ListParagraph"/>
        <w:ind w:left="1080"/>
        <w:jc w:val="both"/>
        <w:rPr>
          <w:rFonts w:cs="Times New Roman"/>
        </w:rPr>
      </w:pPr>
      <w:r w:rsidRPr="00CC2423">
        <w:rPr>
          <w:rFonts w:cs="Times New Roman"/>
        </w:rPr>
        <w:t xml:space="preserve">Quiz                                                  5% </w:t>
      </w:r>
    </w:p>
    <w:p w:rsidR="001707CC" w:rsidRPr="00CC2423" w:rsidRDefault="001707CC" w:rsidP="001707CC">
      <w:pPr>
        <w:pStyle w:val="ListParagraph"/>
        <w:ind w:left="1080"/>
        <w:jc w:val="both"/>
        <w:rPr>
          <w:rFonts w:cs="Times New Roman"/>
        </w:rPr>
      </w:pPr>
      <w:r w:rsidRPr="00CC2423">
        <w:rPr>
          <w:rFonts w:cs="Times New Roman"/>
        </w:rPr>
        <w:t>Assignments                                    5%</w:t>
      </w:r>
    </w:p>
    <w:p w:rsidR="001707CC" w:rsidRPr="00CC2423" w:rsidRDefault="001707CC" w:rsidP="001707CC">
      <w:pPr>
        <w:pStyle w:val="ListParagraph"/>
        <w:ind w:left="1080"/>
        <w:jc w:val="both"/>
        <w:rPr>
          <w:rFonts w:cs="Times New Roman"/>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2"/>
      </w:tblGrid>
      <w:tr w:rsidR="001C7400" w:rsidRPr="00CC2423" w:rsidTr="001C7400">
        <w:trPr>
          <w:trHeight w:val="576"/>
        </w:trPr>
        <w:tc>
          <w:tcPr>
            <w:tcW w:w="9372" w:type="dxa"/>
            <w:shd w:val="clear" w:color="auto" w:fill="948A54" w:themeFill="background2" w:themeFillShade="80"/>
          </w:tcPr>
          <w:p w:rsidR="001C7400" w:rsidRPr="00CC2423" w:rsidRDefault="001C7400" w:rsidP="001C7400">
            <w:pPr>
              <w:ind w:left="96"/>
              <w:rPr>
                <w:rStyle w:val="apple-style-span"/>
                <w:rFonts w:cs="Times New Roman"/>
                <w:b/>
                <w:u w:val="single"/>
              </w:rPr>
            </w:pPr>
            <w:r w:rsidRPr="00CC2423">
              <w:rPr>
                <w:rStyle w:val="apple-style-span"/>
                <w:rFonts w:cs="Times New Roman"/>
                <w:b/>
                <w:u w:val="single"/>
              </w:rPr>
              <w:t>Course Policy:</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6E65" w:rsidRPr="00CC2423" w:rsidTr="005F3E55">
        <w:tc>
          <w:tcPr>
            <w:tcW w:w="9576" w:type="dxa"/>
            <w:shd w:val="clear" w:color="auto" w:fill="FFFFFF" w:themeFill="background1"/>
          </w:tcPr>
          <w:p w:rsidR="009076B8" w:rsidRDefault="009076B8" w:rsidP="009076B8">
            <w:pPr>
              <w:pStyle w:val="ListParagraph"/>
              <w:rPr>
                <w:rFonts w:cs="Times New Roman"/>
              </w:rPr>
            </w:pPr>
          </w:p>
          <w:p w:rsidR="009076B8" w:rsidRPr="00FC4772" w:rsidRDefault="009076B8" w:rsidP="009076B8">
            <w:pPr>
              <w:pStyle w:val="ListParagraph"/>
              <w:numPr>
                <w:ilvl w:val="0"/>
                <w:numId w:val="2"/>
              </w:numPr>
              <w:rPr>
                <w:rFonts w:cs="Times New Roman"/>
              </w:rPr>
            </w:pPr>
            <w:r w:rsidRPr="00FC4772">
              <w:rPr>
                <w:rFonts w:cs="Times New Roman"/>
              </w:rPr>
              <w:t>Students are expected to be punctual. Students joining the classroom ten minut</w:t>
            </w:r>
            <w:r>
              <w:rPr>
                <w:rFonts w:cs="Times New Roman"/>
              </w:rPr>
              <w:t>es after the commencement of</w:t>
            </w:r>
            <w:r w:rsidRPr="00FC4772">
              <w:rPr>
                <w:rFonts w:cs="Times New Roman"/>
              </w:rPr>
              <w:t xml:space="preserve"> session will not be allowed in and marked absent.</w:t>
            </w:r>
          </w:p>
          <w:p w:rsidR="009076B8" w:rsidRPr="00FC4772" w:rsidRDefault="009076B8" w:rsidP="009076B8">
            <w:pPr>
              <w:pStyle w:val="ListParagraph"/>
              <w:numPr>
                <w:ilvl w:val="0"/>
                <w:numId w:val="2"/>
              </w:numPr>
              <w:rPr>
                <w:rFonts w:cs="Times New Roman"/>
              </w:rPr>
            </w:pPr>
            <w:r w:rsidRPr="00FC4772">
              <w:rPr>
                <w:rFonts w:cs="Times New Roman"/>
              </w:rPr>
              <w:t>There is strict penalty for plagiarism. Students with plagiarized content in their assignments/projects will be awarded an F grade.</w:t>
            </w:r>
          </w:p>
          <w:p w:rsidR="009076B8" w:rsidRPr="00FC4772" w:rsidRDefault="009076B8" w:rsidP="009076B8">
            <w:pPr>
              <w:pStyle w:val="ListParagraph"/>
              <w:numPr>
                <w:ilvl w:val="0"/>
                <w:numId w:val="2"/>
              </w:numPr>
              <w:rPr>
                <w:rFonts w:cs="Times New Roman"/>
              </w:rPr>
            </w:pPr>
            <w:r w:rsidRPr="00FC4772">
              <w:rPr>
                <w:rFonts w:cs="Times New Roman"/>
              </w:rPr>
              <w:t>All assignments are supposed to be printed/ typed. Assignment’s soft copy can also be submitted on the instructor’s email address.</w:t>
            </w:r>
          </w:p>
          <w:p w:rsidR="009076B8" w:rsidRDefault="009076B8" w:rsidP="009076B8">
            <w:pPr>
              <w:pStyle w:val="ListParagraph"/>
              <w:numPr>
                <w:ilvl w:val="0"/>
                <w:numId w:val="2"/>
              </w:numPr>
              <w:rPr>
                <w:rFonts w:cs="Times New Roman"/>
              </w:rPr>
            </w:pPr>
            <w:r w:rsidRPr="00FC4772">
              <w:rPr>
                <w:rFonts w:cs="Times New Roman"/>
              </w:rPr>
              <w:t xml:space="preserve">There will be no re-take for any quiz or class activity except under extraordinary circumstances. A lecturer can allow a student for a retake provided that the Deputy Chairperson concedes as well. </w:t>
            </w:r>
          </w:p>
          <w:p w:rsidR="009076B8" w:rsidRPr="009076B8" w:rsidRDefault="009076B8" w:rsidP="009076B8">
            <w:pPr>
              <w:pStyle w:val="ListParagraph"/>
              <w:numPr>
                <w:ilvl w:val="0"/>
                <w:numId w:val="2"/>
              </w:numPr>
              <w:rPr>
                <w:rFonts w:cs="Times New Roman"/>
              </w:rPr>
            </w:pPr>
            <w:r w:rsidRPr="009076B8">
              <w:rPr>
                <w:rFonts w:cs="Times New Roman"/>
              </w:rPr>
              <w:lastRenderedPageBreak/>
              <w:t>Assignments and projects will not be accepted after the deadline has passed.</w:t>
            </w:r>
          </w:p>
          <w:p w:rsidR="009076B8" w:rsidRPr="00FC4772" w:rsidRDefault="009076B8" w:rsidP="009076B8">
            <w:pPr>
              <w:pStyle w:val="ListParagraph"/>
              <w:numPr>
                <w:ilvl w:val="0"/>
                <w:numId w:val="2"/>
              </w:numPr>
              <w:rPr>
                <w:rFonts w:cs="Times New Roman"/>
              </w:rPr>
            </w:pPr>
            <w:r w:rsidRPr="00FC4772">
              <w:rPr>
                <w:rFonts w:cs="Times New Roman"/>
              </w:rPr>
              <w:t>Electronic equipment, although convenient, often is a source of class disruption.</w:t>
            </w:r>
            <w:r w:rsidRPr="00FC4772">
              <w:t xml:space="preserve"> </w:t>
            </w:r>
            <w:r w:rsidRPr="00FC4772">
              <w:rPr>
                <w:rFonts w:cs="Times New Roman"/>
              </w:rPr>
              <w:t>Students are expected to ensure that they turn off or set all electronic equipment on a quiet setting prior to entering the classroom.</w:t>
            </w:r>
          </w:p>
          <w:p w:rsidR="009F7733" w:rsidRPr="00A13254" w:rsidRDefault="009F7733" w:rsidP="00A13254">
            <w:pPr>
              <w:ind w:left="360"/>
              <w:rPr>
                <w:rFonts w:cs="Times New Roman"/>
              </w:rPr>
            </w:pPr>
          </w:p>
        </w:tc>
      </w:tr>
      <w:tr w:rsidR="00F36E65" w:rsidRPr="00CC2423" w:rsidTr="001C7400">
        <w:tc>
          <w:tcPr>
            <w:tcW w:w="9576" w:type="dxa"/>
            <w:shd w:val="clear" w:color="auto" w:fill="FFFFFF" w:themeFill="background1"/>
          </w:tcPr>
          <w:p w:rsidR="00F36E65" w:rsidRPr="00CC2423" w:rsidRDefault="00F36E65" w:rsidP="005F3E55">
            <w:pPr>
              <w:rPr>
                <w:rFonts w:cs="Times New Roman"/>
                <w:b/>
                <w:i/>
              </w:rPr>
            </w:pPr>
          </w:p>
        </w:tc>
      </w:tr>
      <w:tr w:rsidR="006F17E5" w:rsidRPr="00CC2423" w:rsidTr="001C7400">
        <w:tc>
          <w:tcPr>
            <w:tcW w:w="9576" w:type="dxa"/>
            <w:shd w:val="clear" w:color="auto" w:fill="FFFFFF" w:themeFill="background1"/>
          </w:tcPr>
          <w:p w:rsidR="006F17E5" w:rsidRPr="00CC2423" w:rsidRDefault="006F17E5" w:rsidP="005F3E55">
            <w:pPr>
              <w:rPr>
                <w:rFonts w:cs="Times New Roman"/>
                <w:b/>
                <w:i/>
              </w:rPr>
            </w:pPr>
          </w:p>
        </w:tc>
      </w:tr>
    </w:tbl>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2"/>
      </w:tblGrid>
      <w:tr w:rsidR="005F3E55" w:rsidRPr="00CC2423" w:rsidTr="005F3E55">
        <w:trPr>
          <w:trHeight w:val="576"/>
        </w:trPr>
        <w:tc>
          <w:tcPr>
            <w:tcW w:w="9372" w:type="dxa"/>
            <w:shd w:val="clear" w:color="auto" w:fill="948A54" w:themeFill="background2" w:themeFillShade="80"/>
          </w:tcPr>
          <w:p w:rsidR="005F3E55" w:rsidRPr="00CC2423" w:rsidRDefault="005F3E55" w:rsidP="005F3E55">
            <w:pPr>
              <w:ind w:left="96"/>
              <w:rPr>
                <w:rStyle w:val="apple-style-span"/>
                <w:rFonts w:cs="Times New Roman"/>
                <w:b/>
                <w:u w:val="single"/>
              </w:rPr>
            </w:pPr>
            <w:r w:rsidRPr="00CC2423">
              <w:rPr>
                <w:rStyle w:val="apple-style-span"/>
                <w:rFonts w:cs="Times New Roman"/>
                <w:b/>
                <w:u w:val="single"/>
              </w:rPr>
              <w:t>Course Project:</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6E65" w:rsidRPr="00CC2423" w:rsidTr="005F3E55">
        <w:tc>
          <w:tcPr>
            <w:tcW w:w="9576" w:type="dxa"/>
            <w:shd w:val="clear" w:color="auto" w:fill="FFFFFF" w:themeFill="background1"/>
          </w:tcPr>
          <w:p w:rsidR="00F36E65" w:rsidRPr="00CC2423" w:rsidRDefault="00F36E65" w:rsidP="00F36E65">
            <w:pPr>
              <w:rPr>
                <w:rFonts w:cs="Times New Roman"/>
              </w:rPr>
            </w:pPr>
          </w:p>
          <w:p w:rsidR="00F36E65" w:rsidRDefault="009076B8" w:rsidP="009076B8">
            <w:pPr>
              <w:rPr>
                <w:rFonts w:cs="Times New Roman"/>
              </w:rPr>
            </w:pPr>
            <w:r>
              <w:rPr>
                <w:rFonts w:cs="Times New Roman"/>
              </w:rPr>
              <w:t xml:space="preserve">Each student will be submitting a term paper by the end of the semester. The paper should present a detailed analysis of a society that the students have had a chance to interact with. The society studied can both be local or of another origin. Students will be evaluating different features of that society in relation with the concepts studied during this course. Every student will be assigned a separate set of concepts by the instructor to be applied to the society of their interest. </w:t>
            </w:r>
          </w:p>
          <w:p w:rsidR="009076B8" w:rsidRDefault="009076B8" w:rsidP="009076B8">
            <w:pPr>
              <w:rPr>
                <w:rFonts w:cs="Times New Roman"/>
              </w:rPr>
            </w:pPr>
          </w:p>
          <w:p w:rsidR="009076B8" w:rsidRPr="009076B8" w:rsidRDefault="009076B8" w:rsidP="009076B8">
            <w:pPr>
              <w:rPr>
                <w:rFonts w:cs="Times New Roman"/>
              </w:rPr>
            </w:pPr>
            <w:r>
              <w:rPr>
                <w:rFonts w:cs="Times New Roman"/>
              </w:rPr>
              <w:t>Students will be evaluated on the basis of the originality of the paper as well as on how well they have presented the analysis of the society. Extra marks will be awarded on the use of images, videos and other sources that showcase their ideas more effectively</w:t>
            </w:r>
            <w:r w:rsidR="00A13254">
              <w:rPr>
                <w:rFonts w:cs="Times New Roman"/>
              </w:rPr>
              <w:t xml:space="preserve"> during a 15 </w:t>
            </w:r>
            <w:proofErr w:type="gramStart"/>
            <w:r w:rsidR="00A13254">
              <w:rPr>
                <w:rFonts w:cs="Times New Roman"/>
              </w:rPr>
              <w:t>minutes</w:t>
            </w:r>
            <w:proofErr w:type="gramEnd"/>
            <w:r w:rsidR="00A13254">
              <w:rPr>
                <w:rFonts w:cs="Times New Roman"/>
              </w:rPr>
              <w:t xml:space="preserve"> class presentation</w:t>
            </w:r>
            <w:r>
              <w:rPr>
                <w:rFonts w:cs="Times New Roman"/>
              </w:rPr>
              <w:t xml:space="preserve">. Videos (if any) can be submitted separately on a CD or emailed on the instructor’s email id. </w:t>
            </w:r>
          </w:p>
        </w:tc>
      </w:tr>
    </w:tbl>
    <w:p w:rsidR="00F36E65" w:rsidRPr="00CC2423" w:rsidRDefault="00F36E65" w:rsidP="001707CC">
      <w:pPr>
        <w:rPr>
          <w:b/>
          <w:u w:val="singl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9F405C" w:rsidRPr="00CC2423" w:rsidTr="009F405C">
        <w:trPr>
          <w:trHeight w:val="852"/>
        </w:trPr>
        <w:tc>
          <w:tcPr>
            <w:tcW w:w="9456" w:type="dxa"/>
            <w:shd w:val="clear" w:color="auto" w:fill="948A54" w:themeFill="background2" w:themeFillShade="80"/>
          </w:tcPr>
          <w:p w:rsidR="009F405C" w:rsidRPr="00CC2423" w:rsidRDefault="009F405C" w:rsidP="009F405C">
            <w:pPr>
              <w:tabs>
                <w:tab w:val="left" w:pos="1080"/>
              </w:tabs>
              <w:spacing w:after="0" w:line="240" w:lineRule="auto"/>
              <w:ind w:left="444"/>
              <w:rPr>
                <w:b/>
                <w:bCs/>
                <w:u w:val="single"/>
              </w:rPr>
            </w:pPr>
          </w:p>
          <w:p w:rsidR="009F405C" w:rsidRPr="00CC2423" w:rsidRDefault="009F405C" w:rsidP="009F405C">
            <w:pPr>
              <w:ind w:left="84"/>
              <w:rPr>
                <w:b/>
                <w:bCs/>
                <w:u w:val="single"/>
              </w:rPr>
            </w:pPr>
            <w:r w:rsidRPr="00CC2423">
              <w:rPr>
                <w:b/>
                <w:u w:val="single"/>
              </w:rPr>
              <w:t>Course Content:</w:t>
            </w:r>
          </w:p>
        </w:tc>
      </w:tr>
    </w:tbl>
    <w:p w:rsidR="006F17E5" w:rsidRDefault="006F17E5" w:rsidP="009076B8">
      <w:pPr>
        <w:rPr>
          <w:b/>
          <w:i/>
        </w:rPr>
      </w:pPr>
    </w:p>
    <w:p w:rsidR="009076B8" w:rsidRDefault="00BA3D28" w:rsidP="00BA3D28">
      <w:pPr>
        <w:pStyle w:val="ListParagraph"/>
        <w:numPr>
          <w:ilvl w:val="0"/>
          <w:numId w:val="10"/>
        </w:numPr>
      </w:pPr>
      <w:r>
        <w:t>Sociology and Society</w:t>
      </w:r>
    </w:p>
    <w:p w:rsidR="00BA3D28" w:rsidRDefault="00BA3D28" w:rsidP="00BA3D28">
      <w:pPr>
        <w:pStyle w:val="ListParagraph"/>
        <w:numPr>
          <w:ilvl w:val="1"/>
          <w:numId w:val="10"/>
        </w:numPr>
      </w:pPr>
      <w:r>
        <w:t>History of Sociology and Social Science</w:t>
      </w:r>
    </w:p>
    <w:p w:rsidR="00BA3D28" w:rsidRDefault="00BA3D28" w:rsidP="00BA3D28">
      <w:pPr>
        <w:pStyle w:val="ListParagraph"/>
        <w:numPr>
          <w:ilvl w:val="1"/>
          <w:numId w:val="10"/>
        </w:numPr>
      </w:pPr>
      <w:r>
        <w:t>The Scientific Method of Investigation</w:t>
      </w:r>
    </w:p>
    <w:p w:rsidR="00BA3D28" w:rsidRDefault="00BA3D28" w:rsidP="00BA3D28">
      <w:pPr>
        <w:pStyle w:val="ListParagraph"/>
        <w:numPr>
          <w:ilvl w:val="1"/>
          <w:numId w:val="10"/>
        </w:numPr>
      </w:pPr>
      <w:r>
        <w:t>Perspectives in Sociology</w:t>
      </w:r>
    </w:p>
    <w:p w:rsidR="00BA3D28" w:rsidRDefault="00BA3D28" w:rsidP="00BA3D28">
      <w:pPr>
        <w:pStyle w:val="ListParagraph"/>
        <w:numPr>
          <w:ilvl w:val="1"/>
          <w:numId w:val="10"/>
        </w:numPr>
      </w:pPr>
      <w:r>
        <w:t>Fields and Methods of Sociology</w:t>
      </w:r>
    </w:p>
    <w:p w:rsidR="00BA3D28" w:rsidRDefault="00BA3D28" w:rsidP="00BA3D28">
      <w:pPr>
        <w:pStyle w:val="ListParagraph"/>
        <w:numPr>
          <w:ilvl w:val="0"/>
          <w:numId w:val="10"/>
        </w:numPr>
      </w:pPr>
      <w:r>
        <w:t>Society and the Individual</w:t>
      </w:r>
    </w:p>
    <w:p w:rsidR="00BA3D28" w:rsidRDefault="00EE4CC9" w:rsidP="002E2920">
      <w:pPr>
        <w:pStyle w:val="ListParagraph"/>
        <w:numPr>
          <w:ilvl w:val="1"/>
          <w:numId w:val="10"/>
        </w:numPr>
      </w:pPr>
      <w:r>
        <w:t>The Cultural Context</w:t>
      </w:r>
    </w:p>
    <w:p w:rsidR="00EE4CC9" w:rsidRDefault="00EE4CC9" w:rsidP="002E2920">
      <w:pPr>
        <w:pStyle w:val="ListParagraph"/>
        <w:numPr>
          <w:ilvl w:val="1"/>
          <w:numId w:val="10"/>
        </w:numPr>
      </w:pPr>
      <w:r>
        <w:t>Personality and Socialization</w:t>
      </w:r>
    </w:p>
    <w:p w:rsidR="00EE4CC9" w:rsidRDefault="00EE4CC9" w:rsidP="006E686D">
      <w:pPr>
        <w:pStyle w:val="ListParagraph"/>
        <w:numPr>
          <w:ilvl w:val="1"/>
          <w:numId w:val="10"/>
        </w:numPr>
      </w:pPr>
      <w:r>
        <w:t>Role and Status</w:t>
      </w:r>
      <w:bookmarkStart w:id="0" w:name="_GoBack"/>
      <w:bookmarkEnd w:id="0"/>
    </w:p>
    <w:p w:rsidR="00EE4CC9" w:rsidRDefault="00EE4CC9" w:rsidP="00EE4CC9">
      <w:pPr>
        <w:pStyle w:val="ListParagraph"/>
        <w:numPr>
          <w:ilvl w:val="1"/>
          <w:numId w:val="10"/>
        </w:numPr>
      </w:pPr>
      <w:r>
        <w:t>Social Order and Social Control</w:t>
      </w:r>
    </w:p>
    <w:p w:rsidR="00EE4CC9" w:rsidRDefault="00EE4CC9" w:rsidP="00EE4CC9">
      <w:pPr>
        <w:pStyle w:val="ListParagraph"/>
        <w:numPr>
          <w:ilvl w:val="0"/>
          <w:numId w:val="10"/>
        </w:numPr>
      </w:pPr>
      <w:r>
        <w:t>Social Organization</w:t>
      </w:r>
    </w:p>
    <w:p w:rsidR="00EE4CC9" w:rsidRDefault="00EE4CC9" w:rsidP="00EE4CC9">
      <w:pPr>
        <w:pStyle w:val="ListParagraph"/>
        <w:numPr>
          <w:ilvl w:val="1"/>
          <w:numId w:val="10"/>
        </w:numPr>
      </w:pPr>
      <w:r>
        <w:t>Groups and Association</w:t>
      </w:r>
    </w:p>
    <w:p w:rsidR="00EE4CC9" w:rsidRDefault="00EE4CC9" w:rsidP="00EE4CC9">
      <w:pPr>
        <w:pStyle w:val="ListParagraph"/>
        <w:numPr>
          <w:ilvl w:val="1"/>
          <w:numId w:val="10"/>
        </w:numPr>
      </w:pPr>
      <w:r>
        <w:t>Social Institutions</w:t>
      </w:r>
    </w:p>
    <w:p w:rsidR="00EE4CC9" w:rsidRDefault="00EE4CC9" w:rsidP="00EE4CC9">
      <w:pPr>
        <w:pStyle w:val="ListParagraph"/>
        <w:numPr>
          <w:ilvl w:val="1"/>
          <w:numId w:val="10"/>
        </w:numPr>
      </w:pPr>
      <w:r>
        <w:t>The Family</w:t>
      </w:r>
    </w:p>
    <w:p w:rsidR="00EE4CC9" w:rsidRDefault="00EE4CC9" w:rsidP="00EE4CC9">
      <w:pPr>
        <w:pStyle w:val="ListParagraph"/>
        <w:numPr>
          <w:ilvl w:val="1"/>
          <w:numId w:val="10"/>
        </w:numPr>
      </w:pPr>
      <w:r>
        <w:t>Religious Institutions</w:t>
      </w:r>
    </w:p>
    <w:p w:rsidR="00EE4CC9" w:rsidRDefault="00EE4CC9" w:rsidP="00EE4CC9">
      <w:pPr>
        <w:pStyle w:val="ListParagraph"/>
        <w:numPr>
          <w:ilvl w:val="1"/>
          <w:numId w:val="10"/>
        </w:numPr>
      </w:pPr>
      <w:r>
        <w:t>Education, Science and Technology</w:t>
      </w:r>
    </w:p>
    <w:p w:rsidR="00EE4CC9" w:rsidRDefault="00EE4CC9" w:rsidP="00EE4CC9">
      <w:pPr>
        <w:pStyle w:val="ListParagraph"/>
        <w:numPr>
          <w:ilvl w:val="1"/>
          <w:numId w:val="10"/>
        </w:numPr>
      </w:pPr>
      <w:r>
        <w:t>Political-Economic Institutions</w:t>
      </w:r>
    </w:p>
    <w:p w:rsidR="00EE4CC9" w:rsidRDefault="00EE4CC9" w:rsidP="00EE4CC9">
      <w:pPr>
        <w:pStyle w:val="ListParagraph"/>
        <w:numPr>
          <w:ilvl w:val="0"/>
          <w:numId w:val="10"/>
        </w:numPr>
      </w:pPr>
      <w:r>
        <w:t>Social Stratification</w:t>
      </w:r>
    </w:p>
    <w:p w:rsidR="00EE4CC9" w:rsidRDefault="00EE4CC9" w:rsidP="00EE4CC9">
      <w:pPr>
        <w:pStyle w:val="ListParagraph"/>
        <w:numPr>
          <w:ilvl w:val="1"/>
          <w:numId w:val="10"/>
        </w:numPr>
      </w:pPr>
      <w:r>
        <w:lastRenderedPageBreak/>
        <w:t>Social Class</w:t>
      </w:r>
    </w:p>
    <w:p w:rsidR="00EE4CC9" w:rsidRDefault="00EE4CC9" w:rsidP="00EE4CC9">
      <w:pPr>
        <w:pStyle w:val="ListParagraph"/>
        <w:numPr>
          <w:ilvl w:val="1"/>
          <w:numId w:val="10"/>
        </w:numPr>
      </w:pPr>
      <w:r>
        <w:t>Social Mobility</w:t>
      </w:r>
    </w:p>
    <w:p w:rsidR="00EE4CC9" w:rsidRDefault="00EE4CC9" w:rsidP="00EE4CC9">
      <w:pPr>
        <w:pStyle w:val="ListParagraph"/>
        <w:numPr>
          <w:ilvl w:val="1"/>
          <w:numId w:val="10"/>
        </w:numPr>
      </w:pPr>
      <w:r>
        <w:t>Race and Ethnic Relations</w:t>
      </w:r>
    </w:p>
    <w:p w:rsidR="0097223C" w:rsidRDefault="0097223C" w:rsidP="0097223C">
      <w:pPr>
        <w:pStyle w:val="ListParagraph"/>
        <w:numPr>
          <w:ilvl w:val="0"/>
          <w:numId w:val="10"/>
        </w:numPr>
      </w:pPr>
      <w:r>
        <w:t>Social Change</w:t>
      </w:r>
    </w:p>
    <w:p w:rsidR="0097223C" w:rsidRDefault="0097223C" w:rsidP="0097223C">
      <w:pPr>
        <w:pStyle w:val="ListParagraph"/>
        <w:numPr>
          <w:ilvl w:val="1"/>
          <w:numId w:val="10"/>
        </w:numPr>
      </w:pPr>
      <w:r>
        <w:t>Collective Behavior and Social Movements</w:t>
      </w:r>
    </w:p>
    <w:p w:rsidR="0097223C" w:rsidRPr="00BA3D28" w:rsidRDefault="0097223C" w:rsidP="0097223C">
      <w:pPr>
        <w:pStyle w:val="ListParagraph"/>
        <w:ind w:left="1440"/>
      </w:pPr>
    </w:p>
    <w:sectPr w:rsidR="0097223C" w:rsidRPr="00BA3D28" w:rsidSect="006F17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39E"/>
    <w:multiLevelType w:val="hybridMultilevel"/>
    <w:tmpl w:val="8EE0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26149"/>
    <w:multiLevelType w:val="hybridMultilevel"/>
    <w:tmpl w:val="D66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6159A"/>
    <w:multiLevelType w:val="hybridMultilevel"/>
    <w:tmpl w:val="F12C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15BE0"/>
    <w:multiLevelType w:val="hybridMultilevel"/>
    <w:tmpl w:val="C43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97526"/>
    <w:multiLevelType w:val="hybridMultilevel"/>
    <w:tmpl w:val="8610AA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922DB"/>
    <w:multiLevelType w:val="hybridMultilevel"/>
    <w:tmpl w:val="C9D2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3D04DB"/>
    <w:multiLevelType w:val="hybridMultilevel"/>
    <w:tmpl w:val="FDFA1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B71123"/>
    <w:multiLevelType w:val="hybridMultilevel"/>
    <w:tmpl w:val="42A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64D1C"/>
    <w:multiLevelType w:val="hybridMultilevel"/>
    <w:tmpl w:val="E4727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36B17"/>
    <w:multiLevelType w:val="hybridMultilevel"/>
    <w:tmpl w:val="2466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7"/>
  </w:num>
  <w:num w:numId="6">
    <w:abstractNumId w:val="6"/>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2"/>
  </w:compat>
  <w:rsids>
    <w:rsidRoot w:val="00EA7FA7"/>
    <w:rsid w:val="000D542F"/>
    <w:rsid w:val="00131787"/>
    <w:rsid w:val="001707CC"/>
    <w:rsid w:val="001C1747"/>
    <w:rsid w:val="001C7400"/>
    <w:rsid w:val="00230117"/>
    <w:rsid w:val="0024660C"/>
    <w:rsid w:val="00256F01"/>
    <w:rsid w:val="00293732"/>
    <w:rsid w:val="002E2920"/>
    <w:rsid w:val="00353817"/>
    <w:rsid w:val="0039117A"/>
    <w:rsid w:val="003F2F37"/>
    <w:rsid w:val="004440B6"/>
    <w:rsid w:val="004500DE"/>
    <w:rsid w:val="00471392"/>
    <w:rsid w:val="004773F0"/>
    <w:rsid w:val="0059193F"/>
    <w:rsid w:val="005F3E55"/>
    <w:rsid w:val="00616206"/>
    <w:rsid w:val="006C3BB3"/>
    <w:rsid w:val="006E66F0"/>
    <w:rsid w:val="006E686D"/>
    <w:rsid w:val="006F17E5"/>
    <w:rsid w:val="007C2BEB"/>
    <w:rsid w:val="009076B8"/>
    <w:rsid w:val="0097223C"/>
    <w:rsid w:val="009C6904"/>
    <w:rsid w:val="009F405C"/>
    <w:rsid w:val="009F7733"/>
    <w:rsid w:val="00A13254"/>
    <w:rsid w:val="00A17A58"/>
    <w:rsid w:val="00A72341"/>
    <w:rsid w:val="00AE1ADF"/>
    <w:rsid w:val="00B16912"/>
    <w:rsid w:val="00BA3D28"/>
    <w:rsid w:val="00CC2423"/>
    <w:rsid w:val="00D93A07"/>
    <w:rsid w:val="00DC2966"/>
    <w:rsid w:val="00E364D8"/>
    <w:rsid w:val="00E402EB"/>
    <w:rsid w:val="00E60491"/>
    <w:rsid w:val="00EA7FA7"/>
    <w:rsid w:val="00EE4CC9"/>
    <w:rsid w:val="00F36E65"/>
    <w:rsid w:val="00F3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3AFA"/>
  <w15:docId w15:val="{CDCE89FC-C3A9-4A8A-A0AA-168A1932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FA7"/>
    <w:pPr>
      <w:ind w:left="720"/>
      <w:contextualSpacing/>
    </w:pPr>
  </w:style>
  <w:style w:type="character" w:customStyle="1" w:styleId="apple-style-span">
    <w:name w:val="apple-style-span"/>
    <w:basedOn w:val="DefaultParagraphFont"/>
    <w:rsid w:val="001707CC"/>
  </w:style>
  <w:style w:type="paragraph" w:styleId="BalloonText">
    <w:name w:val="Balloon Text"/>
    <w:basedOn w:val="Normal"/>
    <w:link w:val="BalloonTextChar"/>
    <w:uiPriority w:val="99"/>
    <w:semiHidden/>
    <w:unhideWhenUsed/>
    <w:rsid w:val="0047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F0"/>
    <w:rPr>
      <w:rFonts w:ascii="Tahoma" w:hAnsi="Tahoma" w:cs="Tahoma"/>
      <w:sz w:val="16"/>
      <w:szCs w:val="16"/>
    </w:rPr>
  </w:style>
  <w:style w:type="character" w:styleId="Hyperlink">
    <w:name w:val="Hyperlink"/>
    <w:basedOn w:val="DefaultParagraphFont"/>
    <w:uiPriority w:val="99"/>
    <w:unhideWhenUsed/>
    <w:rsid w:val="00F37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een.shah@y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Arshad</dc:creator>
  <cp:lastModifiedBy>Sameen Shah</cp:lastModifiedBy>
  <cp:revision>19</cp:revision>
  <dcterms:created xsi:type="dcterms:W3CDTF">2015-09-26T13:02:00Z</dcterms:created>
  <dcterms:modified xsi:type="dcterms:W3CDTF">2018-10-16T17:00:00Z</dcterms:modified>
</cp:coreProperties>
</file>