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left"/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</w:pP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 xml:space="preserve">NAME </w:t>
      </w: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ab/>
      </w: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ab/>
      </w: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>ABID KHAN</w:t>
      </w:r>
    </w:p>
    <w:p>
      <w:pPr>
        <w:spacing w:after="0" w:line="360" w:lineRule="auto"/>
        <w:jc w:val="left"/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</w:pP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 xml:space="preserve">ID </w:t>
      </w: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ab/>
      </w: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ab/>
      </w:r>
      <w:r>
        <w:rPr>
          <w:rFonts w:hint="default" w:hAnsi="Impact" w:asciiTheme="minorAscii"/>
          <w:b/>
          <w:bCs w:val="0"/>
          <w:sz w:val="24"/>
          <w:szCs w:val="24"/>
          <w:u w:color="000000"/>
          <w:lang w:val="en-US"/>
        </w:rPr>
        <w:t xml:space="preserve">13763 </w:t>
      </w:r>
    </w:p>
    <w:p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 Orthodontic                                                   Instructor: Ms. Salma Ishaq</w:t>
      </w:r>
    </w:p>
    <w:p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Max Marks: 30</w:t>
      </w:r>
    </w:p>
    <w:p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Midterm assignment </w:t>
      </w:r>
    </w:p>
    <w:p>
      <w:pPr>
        <w:pStyle w:val="7"/>
        <w:pBdr>
          <w:bottom w:val="single" w:color="auto" w:sz="12" w:space="1"/>
        </w:pBdr>
        <w:spacing w:after="0" w:line="240" w:lineRule="auto"/>
        <w:ind w:left="0"/>
        <w:jc w:val="left"/>
        <w:rPr>
          <w:rFonts w:ascii="Times New Roman" w:hAnsi="Times New Roman" w:cs="Times New Roman"/>
          <w:sz w:val="18"/>
          <w:szCs w:val="18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540" w:hanging="54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red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Q1: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red"/>
          <w14:textFill>
            <w14:solidFill>
              <w14:schemeClr w14:val="tx1"/>
            </w14:solidFill>
          </w14:textFill>
        </w:rPr>
        <w:t xml:space="preserve">For missing upper central incisor due to trauma at young age, which is more preferable implant or esthetic bridge?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0" w:lineRule="atLeast"/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Ans1: 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kern w:val="0"/>
          <w:sz w:val="24"/>
          <w:szCs w:val="24"/>
          <w:shd w:val="clear" w:fill="FFFFFF"/>
          <w:lang w:val="en-US" w:eastAsia="zh-CN" w:bidi="ar"/>
        </w:rPr>
        <w:t>That is actually age dependent. We cannot do implant therapy at a young age. What I prefer in younger individuals is resin bonded bridges. They are technique sensitive but offer retrievability and thus can be removed and implant can be placed at a later stage when the individual has reached the age of maturity.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0" w:lineRule="atLeast"/>
        <w:ind w:left="0" w:firstLine="0"/>
        <w:jc w:val="left"/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Replacing a central incisor by implant always reach a problem due to the lengthening of facial bones throughout life. This entail a gap on incisive edges which  could be compensated by the change of the prosthesis but also on the gingival festoon much difficult to correct. Also the bri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dge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glued cantilever seems far preferable to the extent that it does not lock the inter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maxillary suture. Finally if, on a young person, is envisaged an orthodontic treatment with premolar extraction, the auto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graft is the solution that seems to me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  <w:lang w:val="en-US"/>
        </w:rPr>
        <w:t>.</w:t>
      </w:r>
      <w:r>
        <w:rPr>
          <w:rFonts w:hint="default" w:ascii="Times New Roman" w:hAnsi="Times New Roman" w:eastAsia="Arial" w:cs="Times New Roman"/>
          <w:i w:val="0"/>
          <w:caps w:val="0"/>
          <w:color w:val="111111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0" w:lineRule="atLeast"/>
        <w:ind w:lef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highlight w:val="red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red"/>
          <w14:textFill>
            <w14:solidFill>
              <w14:schemeClr w14:val="tx1"/>
            </w14:solidFill>
          </w14:textFill>
        </w:rPr>
        <w:t xml:space="preserve">Q2: Explain the condition of upper and lower teeth? And how it effects on the jaw and shape of face? </w:t>
      </w:r>
    </w:p>
    <w:p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24350" cy="2476500"/>
            <wp:effectExtent l="0" t="0" r="0" b="0"/>
            <wp:docPr id="1" name="Picture 1" descr="C:\Users\lenovo\Desktop\anterior-crossb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novo\Desktop\anterior-crossb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Ans 2.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yellow"/>
          <w:lang w:val="en-US"/>
          <w14:textFill>
            <w14:solidFill>
              <w14:schemeClr w14:val="tx1"/>
            </w14:solidFill>
          </w14:textFill>
        </w:rPr>
        <w:t xml:space="preserve"> condition is class 3 malocclusion .</w:t>
      </w:r>
    </w:p>
    <w:p>
      <w:pPr>
        <w:spacing w:line="480" w:lineRule="auto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222222"/>
          <w:spacing w:val="0"/>
          <w:sz w:val="24"/>
          <w:szCs w:val="24"/>
          <w:shd w:val="clear" w:fill="FFFFFF"/>
          <w:lang w:val="en-US"/>
        </w:rPr>
        <w:t>I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t is</w:t>
      </w: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a skeletal facial deformity characterized by a forward mandibular position with respect to the cranial base and/or maxilla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.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SimSun" w:cs="Arial"/>
          <w:b/>
          <w:i w:val="0"/>
          <w:caps w:val="0"/>
          <w:color w:val="222222"/>
          <w:spacing w:val="0"/>
          <w:sz w:val="24"/>
          <w:szCs w:val="24"/>
          <w:shd w:val="clear" w:fill="FFFFFF"/>
        </w:rPr>
        <w:t>Class III malocclusion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represents patients with anterior cross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bite and a skeletal </w:t>
      </w:r>
      <w:r>
        <w:rPr>
          <w:rFonts w:hint="default" w:ascii="Arial" w:hAnsi="Arial" w:eastAsia="SimSun" w:cs="Arial"/>
          <w:b/>
          <w:i w:val="0"/>
          <w:caps w:val="0"/>
          <w:color w:val="222222"/>
          <w:spacing w:val="0"/>
          <w:sz w:val="24"/>
          <w:szCs w:val="24"/>
          <w:shd w:val="clear" w:fill="FFFFFF"/>
        </w:rPr>
        <w:t>Class III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jaw disharmony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. </w:t>
      </w:r>
    </w:p>
    <w:p>
      <w:pPr>
        <w:spacing w:line="480" w:lineRule="auto"/>
        <w:jc w:val="left"/>
        <w:rPr>
          <w:rFonts w:hint="default" w:ascii="Arial" w:hAnsi="Arial" w:eastAsia="SimSun" w:cs="Arial"/>
          <w:b/>
          <w:bCs/>
          <w:i/>
          <w:iCs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Arial" w:hAnsi="Arial" w:eastAsia="SimSun" w:cs="Arial"/>
          <w:b/>
          <w:bCs/>
          <w:i/>
          <w:iCs/>
          <w:caps w:val="0"/>
          <w:color w:val="222222"/>
          <w:spacing w:val="0"/>
          <w:sz w:val="24"/>
          <w:szCs w:val="24"/>
          <w:highlight w:val="yellow"/>
          <w:shd w:val="clear" w:fill="FFFFFF"/>
          <w:lang w:val="en-US"/>
        </w:rPr>
        <w:t xml:space="preserve">Effects on jaw and shape of face </w:t>
      </w:r>
      <w:r>
        <w:rPr>
          <w:rFonts w:hint="default" w:ascii="Arial" w:hAnsi="Arial" w:eastAsia="SimSun" w:cs="Arial"/>
          <w:b/>
          <w:bCs/>
          <w:i/>
          <w:iCs/>
          <w:caps w:val="0"/>
          <w:color w:val="222222"/>
          <w:spacing w:val="0"/>
          <w:sz w:val="24"/>
          <w:szCs w:val="24"/>
          <w:shd w:val="clear" w:fill="FFFFFF"/>
          <w:lang w:val="en-US"/>
        </w:rPr>
        <w:t>.</w:t>
      </w:r>
    </w:p>
    <w:p>
      <w:pPr>
        <w:spacing w:line="480" w:lineRule="auto"/>
        <w:jc w:val="left"/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Arial" w:hAnsi="Arial" w:eastAsia="SimSun" w:cs="Arial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US"/>
        </w:rPr>
        <w:t>T</w:t>
      </w: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he patient exhibits a concave facial profile , a retrusive naso maxillary area and a prominent lower third of the face </w:t>
      </w:r>
    </w:p>
    <w:p>
      <w:pPr>
        <w:spacing w:line="480" w:lineRule="auto"/>
        <w:jc w:val="left"/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Arial" w:hAnsi="Arial" w:eastAsia="SimSun" w:cs="Arial"/>
          <w:b w:val="0"/>
          <w:bCs w:val="0"/>
          <w:i w:val="0"/>
          <w:color w:val="222222"/>
          <w:spacing w:val="0"/>
          <w:sz w:val="24"/>
          <w:szCs w:val="24"/>
          <w:shd w:val="clear" w:fill="FFFFFF"/>
          <w:lang w:val="en-US"/>
        </w:rPr>
        <w:t>T</w:t>
      </w: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  <w:lang w:val="en-US"/>
        </w:rPr>
        <w:t>he lower lip is often protruded relative to the upper lip.</w:t>
      </w:r>
    </w:p>
    <w:p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highlight w:val="red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red"/>
          <w14:textFill>
            <w14:solidFill>
              <w14:schemeClr w14:val="tx1"/>
            </w14:solidFill>
          </w14:textFill>
        </w:rPr>
        <w:t>Q3: Illustrate the periods of occlusal development?</w:t>
      </w:r>
    </w:p>
    <w:p>
      <w:pPr>
        <w:spacing w:line="480" w:lineRule="auto"/>
        <w:jc w:val="left"/>
        <w:rPr>
          <w:rFonts w:hint="default" w:hAnsi="Times New Roman" w:cs="Times New Roman" w:asciiTheme="minorAscii"/>
          <w:i/>
          <w:iCs/>
          <w:color w:val="000000" w:themeColor="text1"/>
          <w:sz w:val="32"/>
          <w:szCs w:val="32"/>
          <w:highlight w:val="yellow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Ans. </w:t>
      </w:r>
      <w:r>
        <w:rPr>
          <w:rFonts w:hint="default" w:hAnsi="Times New Roman" w:cs="Times New Roman" w:asciiTheme="minorAscii"/>
          <w:i/>
          <w:iCs/>
          <w:color w:val="000000" w:themeColor="text1"/>
          <w:sz w:val="32"/>
          <w:szCs w:val="32"/>
          <w:highlight w:val="yellow"/>
          <w:lang w:val="en-US"/>
          <w14:textFill>
            <w14:solidFill>
              <w14:schemeClr w14:val="tx1"/>
            </w14:solidFill>
          </w14:textFill>
        </w:rPr>
        <w:t>Periods of occlusal development.</w:t>
      </w:r>
    </w:p>
    <w:p>
      <w:pPr>
        <w:numPr>
          <w:ilvl w:val="0"/>
          <w:numId w:val="1"/>
        </w:numPr>
        <w:spacing w:line="480" w:lineRule="auto"/>
        <w:ind w:left="1440" w:leftChars="0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Pre dental period.</w:t>
      </w:r>
    </w:p>
    <w:p>
      <w:pPr>
        <w:numPr>
          <w:ilvl w:val="0"/>
          <w:numId w:val="1"/>
        </w:numPr>
        <w:spacing w:line="480" w:lineRule="auto"/>
        <w:ind w:left="1440" w:leftChars="0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deciduous dentition </w:t>
      </w:r>
    </w:p>
    <w:p>
      <w:pPr>
        <w:numPr>
          <w:ilvl w:val="0"/>
          <w:numId w:val="1"/>
        </w:numPr>
        <w:spacing w:line="480" w:lineRule="auto"/>
        <w:ind w:left="1440" w:leftChars="0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mixed period.</w:t>
      </w:r>
    </w:p>
    <w:p>
      <w:pPr>
        <w:numPr>
          <w:ilvl w:val="0"/>
          <w:numId w:val="1"/>
        </w:numPr>
        <w:spacing w:line="480" w:lineRule="auto"/>
        <w:ind w:left="1440" w:leftChars="0"/>
        <w:jc w:val="left"/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permanent dentition period. </w:t>
      </w:r>
    </w:p>
    <w:p>
      <w:pPr>
        <w:numPr>
          <w:ilvl w:val="0"/>
          <w:numId w:val="2"/>
        </w:numPr>
        <w:spacing w:line="480" w:lineRule="auto"/>
        <w:jc w:val="left"/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PRE DENTAL PERIOD ( gum pads )</w:t>
      </w:r>
    </w:p>
    <w:p>
      <w:pPr>
        <w:numPr>
          <w:ilvl w:val="0"/>
          <w:numId w:val="0"/>
        </w:numPr>
        <w:spacing w:line="480" w:lineRule="auto"/>
        <w:ind w:firstLine="720" w:firstLineChars="0"/>
        <w:jc w:val="left"/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The alveolar process at the time of birth. </w:t>
      </w:r>
    </w:p>
    <w:p>
      <w:pPr>
        <w:numPr>
          <w:ilvl w:val="0"/>
          <w:numId w:val="3"/>
        </w:numPr>
        <w:spacing w:line="480" w:lineRule="auto"/>
        <w:ind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Dental grooves : separates the libiobuccal and lingual portion.</w:t>
      </w:r>
    </w:p>
    <w:p>
      <w:pPr>
        <w:numPr>
          <w:ilvl w:val="0"/>
          <w:numId w:val="3"/>
        </w:numPr>
        <w:spacing w:line="480" w:lineRule="auto"/>
        <w:ind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Transverse groove: divide the gum pads into 10 segments representing each deciduous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tooth</w:t>
      </w:r>
    </w:p>
    <w:p>
      <w:pPr>
        <w:numPr>
          <w:ilvl w:val="0"/>
          <w:numId w:val="3"/>
        </w:numPr>
        <w:spacing w:line="480" w:lineRule="auto"/>
        <w:ind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Gingival groove: separates the gum pads from the plate and floor of the mouth.</w:t>
      </w:r>
    </w:p>
    <w:p>
      <w:pPr>
        <w:numPr>
          <w:ilvl w:val="0"/>
          <w:numId w:val="3"/>
        </w:numPr>
        <w:spacing w:line="480" w:lineRule="auto"/>
        <w:ind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Lateral sulci: present between the canine and 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st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molar  </w:t>
      </w:r>
    </w:p>
    <w:p>
      <w:pPr>
        <w:numPr>
          <w:ilvl w:val="0"/>
          <w:numId w:val="0"/>
        </w:numPr>
        <w:spacing w:line="480" w:lineRule="auto"/>
        <w:ind w:firstLine="720" w:firstLineChars="0"/>
        <w:jc w:val="left"/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INFINTILE OPEN BITE </w:t>
      </w:r>
    </w:p>
    <w:p>
      <w:pPr>
        <w:numPr>
          <w:ilvl w:val="0"/>
          <w:numId w:val="0"/>
        </w:numPr>
        <w:spacing w:line="48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When the upper and lower gum pad are approximated there is a complete over jet all around. The infantile open bite is considered to be normal. It helps  in sucking </w:t>
      </w: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THE DECIDUOUS DENTITION:</w:t>
      </w:r>
    </w:p>
    <w:p>
      <w:pPr>
        <w:numPr>
          <w:ilvl w:val="0"/>
          <w:numId w:val="0"/>
        </w:numPr>
        <w:spacing w:line="480" w:lineRule="auto"/>
        <w:ind w:leftChars="0"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 eruption age and sequence )</w:t>
      </w:r>
    </w:p>
    <w:p>
      <w:pPr>
        <w:numPr>
          <w:ilvl w:val="0"/>
          <w:numId w:val="0"/>
        </w:numPr>
        <w:spacing w:line="480" w:lineRule="auto"/>
        <w:ind w:leftChars="0"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mandibular central incisors are the first to erupt around 6-8 months of age.</w:t>
      </w:r>
    </w:p>
    <w:p>
      <w:pPr>
        <w:numPr>
          <w:ilvl w:val="0"/>
          <w:numId w:val="0"/>
        </w:numPr>
        <w:spacing w:line="480" w:lineRule="auto"/>
        <w:ind w:leftChars="0"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 variation of three months  from the mean age is accepted to normal.</w:t>
      </w:r>
    </w:p>
    <w:p>
      <w:pPr>
        <w:numPr>
          <w:ilvl w:val="0"/>
          <w:numId w:val="0"/>
        </w:numPr>
        <w:spacing w:line="480" w:lineRule="auto"/>
        <w:ind w:leftChars="0"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sequence of eruption is ( A-B-D-C-E)</w:t>
      </w:r>
    </w:p>
    <w:p>
      <w:pPr>
        <w:numPr>
          <w:ilvl w:val="0"/>
          <w:numId w:val="0"/>
        </w:numPr>
        <w:spacing w:line="480" w:lineRule="auto"/>
        <w:ind w:leftChars="0" w:firstLine="72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primary dentition is usually established in the age of 3 years</w:t>
      </w:r>
    </w:p>
    <w:p>
      <w:pPr>
        <w:numPr>
          <w:ilvl w:val="0"/>
          <w:numId w:val="2"/>
        </w:numPr>
        <w:spacing w:line="480" w:lineRule="auto"/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THE MIXED DENTITION : 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(eruption age and sequence )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The mixed dentition periods begin at around six years of age with the eruption of  the 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st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permanent molar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This period can be divided into three following phases;</w:t>
      </w:r>
    </w:p>
    <w:p>
      <w:pPr>
        <w:numPr>
          <w:ilvl w:val="0"/>
          <w:numId w:val="0"/>
        </w:numPr>
        <w:spacing w:line="48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A.1st transitional period.</w:t>
      </w:r>
    </w:p>
    <w:p>
      <w:pPr>
        <w:numPr>
          <w:ilvl w:val="0"/>
          <w:numId w:val="4"/>
        </w:numPr>
        <w:spacing w:line="48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Inter transitional period </w:t>
      </w:r>
    </w:p>
    <w:p>
      <w:pPr>
        <w:numPr>
          <w:ilvl w:val="0"/>
          <w:numId w:val="4"/>
        </w:numPr>
        <w:spacing w:line="480" w:lineRule="auto"/>
        <w:ind w:leftChars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vertAlign w:val="superscript"/>
          <w:lang w:val="en-US"/>
          <w14:textFill>
            <w14:solidFill>
              <w14:schemeClr w14:val="tx1"/>
            </w14:solidFill>
          </w14:textFill>
        </w:rPr>
        <w:t>nd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transitional period  </w:t>
      </w:r>
    </w:p>
    <w:p>
      <w:pPr>
        <w:pStyle w:val="7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 1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TRSNSITIONAL PERIOD:</w:t>
      </w:r>
    </w:p>
    <w:p>
      <w:pPr>
        <w:pStyle w:val="7"/>
        <w:ind w:left="720" w:leftChars="0" w:firstLine="7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( emergence of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permanent molar )</w:t>
      </w:r>
    </w:p>
    <w:p>
      <w:pPr>
        <w:pStyle w:val="7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The mandibular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molar is the first permanent tooth to erupt at around six year of age.</w:t>
      </w:r>
    </w:p>
    <w:p>
      <w:pPr>
        <w:pStyle w:val="7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location and relation of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permanent molar is depends on the distal relationship between the upper and lower 2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deciduous molars.</w:t>
      </w:r>
    </w:p>
    <w:p>
      <w:pPr>
        <w:pStyle w:val="7"/>
        <w:numPr>
          <w:ilvl w:val="0"/>
          <w:numId w:val="0"/>
        </w:numPr>
        <w:ind w:firstLine="7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7"/>
        <w:numPr>
          <w:ilvl w:val="0"/>
          <w:numId w:val="0"/>
        </w:numPr>
        <w:ind w:firstLine="7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B.INTER TRANSITIONAL PERIOD:</w:t>
      </w:r>
    </w:p>
    <w:p>
      <w:pPr>
        <w:pStyle w:val="7"/>
        <w:numPr>
          <w:ilvl w:val="0"/>
          <w:numId w:val="0"/>
        </w:numPr>
        <w:ind w:left="720" w:leftChars="0" w:firstLine="7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This ohase is relatively stable and no changes occur.</w:t>
      </w:r>
    </w:p>
    <w:p>
      <w:pPr>
        <w:pStyle w:val="7"/>
        <w:numPr>
          <w:ilvl w:val="0"/>
          <w:numId w:val="0"/>
        </w:numPr>
        <w:ind w:left="720" w:leftChars="0" w:firstLine="72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In this period between then permanent incisors and the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permanent molar are the deciduous molar and canine.</w:t>
      </w:r>
    </w:p>
    <w:p>
      <w:pPr>
        <w:pStyle w:val="7"/>
        <w:numPr>
          <w:ilvl w:val="0"/>
          <w:numId w:val="0"/>
        </w:numPr>
        <w:ind w:left="720" w:leftChars="0" w:firstLine="7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pStyle w:val="7"/>
        <w:numPr>
          <w:ilvl w:val="0"/>
          <w:numId w:val="0"/>
        </w:numPr>
        <w:ind w:leftChars="0" w:firstLine="7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C . 2</w:t>
      </w:r>
      <w:r>
        <w:rPr>
          <w:rFonts w:hint="default"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TRANSITIONAL PERIOD :</w:t>
      </w:r>
    </w:p>
    <w:p>
      <w:pPr>
        <w:pStyle w:val="7"/>
        <w:numPr>
          <w:ilvl w:val="0"/>
          <w:numId w:val="0"/>
        </w:numPr>
        <w:ind w:left="720" w:leftChars="0" w:firstLine="7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(LEEWAY SPACE OF NANCE)</w:t>
      </w:r>
    </w:p>
    <w:p>
      <w:pPr>
        <w:ind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The 2</w:t>
      </w:r>
      <w:r>
        <w:rPr>
          <w:rFonts w:hint="default" w:hAnsi="Algerian" w:asciiTheme="minorAscii"/>
          <w:vertAlign w:val="superscript"/>
          <w:lang w:val="en-US"/>
        </w:rPr>
        <w:t>nd</w:t>
      </w:r>
      <w:r>
        <w:rPr>
          <w:rFonts w:hint="default" w:hAnsi="Algerian" w:asciiTheme="minorAscii"/>
          <w:lang w:val="en-US"/>
        </w:rPr>
        <w:t xml:space="preserve"> transitional period is characterized by the eplacment of of deciduous molar and canine by the permanent premolars and cuspids respectively.</w:t>
      </w:r>
    </w:p>
    <w:p>
      <w:pPr>
        <w:ind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The combined mesio distal width of the permanent canines and premolars are less then that of the deciduous canine and molar. This excess space is called (LEEWAY SPACE OF NANCE )</w:t>
      </w:r>
    </w:p>
    <w:p>
      <w:pPr>
        <w:ind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1.8mm - maxillary arch.</w:t>
      </w:r>
    </w:p>
    <w:p>
      <w:pPr>
        <w:ind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3.4mm- mandibular arch.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hAnsi="Algerian" w:asciiTheme="minorAscii"/>
          <w:b/>
          <w:bCs/>
          <w:i/>
          <w:iCs/>
          <w:sz w:val="28"/>
          <w:szCs w:val="28"/>
          <w:lang w:val="en-US"/>
        </w:rPr>
      </w:pPr>
      <w:r>
        <w:rPr>
          <w:rFonts w:hint="default" w:hAnsi="Algerian" w:asciiTheme="minorAscii"/>
          <w:b/>
          <w:bCs/>
          <w:i/>
          <w:iCs/>
          <w:sz w:val="28"/>
          <w:szCs w:val="28"/>
          <w:lang w:val="en-US"/>
        </w:rPr>
        <w:t>THE PERMANENT DENTITION:</w:t>
      </w:r>
    </w:p>
    <w:p>
      <w:pPr>
        <w:numPr>
          <w:ilvl w:val="0"/>
          <w:numId w:val="0"/>
        </w:numPr>
        <w:ind w:leftChars="0"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The permanent dentition formed within a jaw soon after birth except for the formation of 1</w:t>
      </w:r>
      <w:r>
        <w:rPr>
          <w:rFonts w:hint="default" w:hAnsi="Algerian" w:asciiTheme="minorAscii"/>
          <w:vertAlign w:val="superscript"/>
          <w:lang w:val="en-US"/>
        </w:rPr>
        <w:t>st</w:t>
      </w:r>
      <w:r>
        <w:rPr>
          <w:rFonts w:hint="default" w:hAnsi="Algerian" w:asciiTheme="minorAscii"/>
          <w:lang w:val="en-US"/>
        </w:rPr>
        <w:t xml:space="preserve"> permanent molar which form before birth</w:t>
      </w:r>
    </w:p>
    <w:p>
      <w:pPr>
        <w:numPr>
          <w:ilvl w:val="0"/>
          <w:numId w:val="0"/>
        </w:numPr>
        <w:ind w:leftChars="0"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The permanent incisors lingual or palatel to the deciduous incisor and move labial as the erupt.</w:t>
      </w:r>
    </w:p>
    <w:p>
      <w:pPr>
        <w:numPr>
          <w:ilvl w:val="0"/>
          <w:numId w:val="0"/>
        </w:numPr>
        <w:ind w:leftChars="0" w:firstLine="720" w:firstLineChars="0"/>
        <w:jc w:val="left"/>
        <w:rPr>
          <w:rFonts w:hint="default" w:hAnsi="Algerian" w:asciiTheme="minorAscii"/>
          <w:lang w:val="en-US"/>
        </w:rPr>
      </w:pPr>
    </w:p>
    <w:p>
      <w:pPr>
        <w:numPr>
          <w:ilvl w:val="0"/>
          <w:numId w:val="0"/>
        </w:numPr>
        <w:ind w:leftChars="0"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( ERUPTION SEQUENCE )</w:t>
      </w:r>
    </w:p>
    <w:p>
      <w:pPr>
        <w:numPr>
          <w:ilvl w:val="0"/>
          <w:numId w:val="0"/>
        </w:numPr>
        <w:ind w:leftChars="0"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 xml:space="preserve"> In MAXILLARY arch:</w:t>
      </w:r>
    </w:p>
    <w:p>
      <w:pPr>
        <w:numPr>
          <w:ilvl w:val="0"/>
          <w:numId w:val="0"/>
        </w:numPr>
        <w:ind w:left="720" w:leftChars="0"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6-1-2-4-3-5-7/ 6-1-2-3-4-5-7</w:t>
      </w:r>
    </w:p>
    <w:p>
      <w:pPr>
        <w:numPr>
          <w:ilvl w:val="0"/>
          <w:numId w:val="0"/>
        </w:numPr>
        <w:ind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In MANDIBULAR Arch:</w:t>
      </w:r>
    </w:p>
    <w:p>
      <w:pPr>
        <w:numPr>
          <w:ilvl w:val="0"/>
          <w:numId w:val="0"/>
        </w:numPr>
        <w:ind w:left="720" w:leftChars="0" w:firstLine="720" w:firstLineChars="0"/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>6-1-2-3-4-5-7/6-1-2-4-3-5-7</w:t>
      </w:r>
    </w:p>
    <w:p>
      <w:pPr>
        <w:numPr>
          <w:ilvl w:val="0"/>
          <w:numId w:val="0"/>
        </w:numPr>
        <w:ind w:left="720" w:leftChars="0" w:firstLine="720" w:firstLineChars="0"/>
        <w:jc w:val="left"/>
        <w:rPr>
          <w:rFonts w:hint="default" w:hAnsi="Algerian" w:asciiTheme="minorAscii"/>
          <w:b/>
          <w:bCs/>
          <w:i/>
          <w:iCs/>
          <w:sz w:val="32"/>
          <w:szCs w:val="32"/>
          <w:lang w:val="en-US"/>
        </w:rPr>
      </w:pPr>
    </w:p>
    <w:p>
      <w:pPr>
        <w:numPr>
          <w:ilvl w:val="0"/>
          <w:numId w:val="0"/>
        </w:numPr>
        <w:ind w:left="1440" w:leftChars="0" w:firstLine="720" w:firstLineChars="0"/>
        <w:jc w:val="left"/>
        <w:rPr>
          <w:rFonts w:hint="default" w:hAnsi="Algerian" w:asciiTheme="minorAscii"/>
          <w:b/>
          <w:bCs/>
          <w:i/>
          <w:iCs/>
          <w:sz w:val="32"/>
          <w:szCs w:val="32"/>
          <w:lang w:val="en-US"/>
        </w:rPr>
      </w:pPr>
      <w:r>
        <w:rPr>
          <w:rFonts w:hint="default" w:hAnsi="Algerian" w:asciiTheme="minorAscii"/>
          <w:b/>
          <w:bCs/>
          <w:i/>
          <w:iCs/>
          <w:sz w:val="32"/>
          <w:szCs w:val="32"/>
          <w:lang w:val="en-US"/>
        </w:rPr>
        <w:t xml:space="preserve">End of paper </w:t>
      </w:r>
    </w:p>
    <w:p>
      <w:pPr>
        <w:numPr>
          <w:ilvl w:val="0"/>
          <w:numId w:val="0"/>
        </w:numPr>
        <w:ind w:left="720" w:leftChars="0" w:firstLine="720" w:firstLineChars="0"/>
        <w:jc w:val="left"/>
        <w:rPr>
          <w:rFonts w:hint="default" w:hAnsi="Algerian" w:asciiTheme="minorAscii"/>
          <w:lang w:val="en-US"/>
        </w:rPr>
      </w:pPr>
    </w:p>
    <w:p>
      <w:pPr>
        <w:numPr>
          <w:ilvl w:val="0"/>
          <w:numId w:val="0"/>
        </w:numPr>
        <w:ind w:left="720" w:leftChars="0" w:firstLine="720" w:firstLineChars="0"/>
        <w:jc w:val="left"/>
        <w:rPr>
          <w:rFonts w:hint="default" w:hAnsi="Algerian" w:asciiTheme="minorAscii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hAnsi="Algerian" w:asciiTheme="minorAscii"/>
          <w:lang w:val="en-US"/>
        </w:rPr>
      </w:pPr>
      <w:r>
        <w:rPr>
          <w:rFonts w:hint="default" w:hAnsi="Algerian" w:asciiTheme="minorAscii"/>
          <w:lang w:val="en-US"/>
        </w:rPr>
        <w:t xml:space="preserve"> </w:t>
      </w:r>
      <w:r>
        <w:rPr>
          <w:rFonts w:hint="default" w:hAnsi="Algerian" w:asciiTheme="minorAscii"/>
          <w:lang w:val="en-US"/>
        </w:rPr>
        <w:tab/>
      </w:r>
      <w:r>
        <w:rPr>
          <w:rFonts w:hint="default" w:hAnsi="Algerian" w:asciiTheme="minorAscii"/>
          <w:lang w:val="en-US"/>
        </w:rPr>
        <w:tab/>
      </w:r>
    </w:p>
    <w:sectPr>
      <w:pgSz w:w="12240" w:h="15840"/>
      <w:pgMar w:top="81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337DF"/>
    <w:multiLevelType w:val="singleLevel"/>
    <w:tmpl w:val="B54337D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8B8792"/>
    <w:multiLevelType w:val="singleLevel"/>
    <w:tmpl w:val="CE8B8792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1BE6881E"/>
    <w:multiLevelType w:val="singleLevel"/>
    <w:tmpl w:val="1BE6881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B63B1FF"/>
    <w:multiLevelType w:val="singleLevel"/>
    <w:tmpl w:val="2B63B1FF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32999"/>
    <w:rsid w:val="00032E58"/>
    <w:rsid w:val="00103C43"/>
    <w:rsid w:val="001216F5"/>
    <w:rsid w:val="00166420"/>
    <w:rsid w:val="0018767B"/>
    <w:rsid w:val="001C3E88"/>
    <w:rsid w:val="001C6A21"/>
    <w:rsid w:val="00222AA1"/>
    <w:rsid w:val="002760F3"/>
    <w:rsid w:val="002817F4"/>
    <w:rsid w:val="002E3DAD"/>
    <w:rsid w:val="002F58A8"/>
    <w:rsid w:val="00300373"/>
    <w:rsid w:val="00317FD3"/>
    <w:rsid w:val="00371430"/>
    <w:rsid w:val="003F4FAA"/>
    <w:rsid w:val="00406604"/>
    <w:rsid w:val="00422B38"/>
    <w:rsid w:val="004430AC"/>
    <w:rsid w:val="00453DAA"/>
    <w:rsid w:val="004547E7"/>
    <w:rsid w:val="004810C6"/>
    <w:rsid w:val="004C1A52"/>
    <w:rsid w:val="004D5062"/>
    <w:rsid w:val="00575452"/>
    <w:rsid w:val="005F7224"/>
    <w:rsid w:val="00656D04"/>
    <w:rsid w:val="00683DE6"/>
    <w:rsid w:val="006D25E1"/>
    <w:rsid w:val="00706BD0"/>
    <w:rsid w:val="007268F1"/>
    <w:rsid w:val="00766C14"/>
    <w:rsid w:val="007A5BD0"/>
    <w:rsid w:val="007D004A"/>
    <w:rsid w:val="0086223B"/>
    <w:rsid w:val="00886B2E"/>
    <w:rsid w:val="0089750B"/>
    <w:rsid w:val="008D02D7"/>
    <w:rsid w:val="008D4382"/>
    <w:rsid w:val="008E13F7"/>
    <w:rsid w:val="008F6116"/>
    <w:rsid w:val="0094146A"/>
    <w:rsid w:val="00961133"/>
    <w:rsid w:val="00971E97"/>
    <w:rsid w:val="00977000"/>
    <w:rsid w:val="00980463"/>
    <w:rsid w:val="009B4D09"/>
    <w:rsid w:val="009D7536"/>
    <w:rsid w:val="009F2FD8"/>
    <w:rsid w:val="009F4951"/>
    <w:rsid w:val="00A3728A"/>
    <w:rsid w:val="00A5691D"/>
    <w:rsid w:val="00A62444"/>
    <w:rsid w:val="00AA39E2"/>
    <w:rsid w:val="00AD0C76"/>
    <w:rsid w:val="00B26F3A"/>
    <w:rsid w:val="00B63477"/>
    <w:rsid w:val="00B705C1"/>
    <w:rsid w:val="00B757A8"/>
    <w:rsid w:val="00BD2959"/>
    <w:rsid w:val="00BE671D"/>
    <w:rsid w:val="00C11492"/>
    <w:rsid w:val="00C24A2A"/>
    <w:rsid w:val="00C71115"/>
    <w:rsid w:val="00CB0E79"/>
    <w:rsid w:val="00CC34A8"/>
    <w:rsid w:val="00D02D6B"/>
    <w:rsid w:val="00D55E17"/>
    <w:rsid w:val="00D822FE"/>
    <w:rsid w:val="00DB56AB"/>
    <w:rsid w:val="00EB6799"/>
    <w:rsid w:val="00EE2953"/>
    <w:rsid w:val="00F5689F"/>
    <w:rsid w:val="00F7344D"/>
    <w:rsid w:val="00F735D2"/>
    <w:rsid w:val="00F935DB"/>
    <w:rsid w:val="00FA596C"/>
    <w:rsid w:val="00FE1408"/>
    <w:rsid w:val="04513E74"/>
    <w:rsid w:val="2D690D26"/>
    <w:rsid w:val="44932AB5"/>
    <w:rsid w:val="57A45C1A"/>
    <w:rsid w:val="58BB259E"/>
    <w:rsid w:val="5B1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90</Words>
  <Characters>515</Characters>
  <Lines>4</Lines>
  <Paragraphs>1</Paragraphs>
  <TotalTime>17</TotalTime>
  <ScaleCrop>false</ScaleCrop>
  <LinksUpToDate>false</LinksUpToDate>
  <CharactersWithSpaces>604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2019-11-18T05:12:00Z</dcterms:created>
  <dc:creator>ZAHIR</dc:creator>
  <cp:lastModifiedBy>Abid khan</cp:lastModifiedBy>
  <dcterms:modified xsi:type="dcterms:W3CDTF">2020-04-23T08:41:42Z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