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A3F" w:rsidRPr="00D17322" w:rsidRDefault="00510E64" w:rsidP="00510E64">
      <w:pPr>
        <w:spacing w:line="240" w:lineRule="auto"/>
        <w:ind w:left="2340"/>
        <w:rPr>
          <w:rStyle w:val="IntenseEmphasis"/>
          <w:rFonts w:ascii="Arial" w:hAnsi="Arial" w:cs="Arial"/>
          <w:i w:val="0"/>
          <w:iCs w:val="0"/>
          <w:color w:val="0070C0"/>
          <w:sz w:val="28"/>
          <w:szCs w:val="28"/>
        </w:rPr>
      </w:pPr>
      <w:r w:rsidRPr="00D17322">
        <w:rPr>
          <w:rStyle w:val="IntenseEmphasis"/>
          <w:rFonts w:ascii="Arial" w:hAnsi="Arial" w:cs="Arial"/>
          <w:i w:val="0"/>
          <w:iCs w:val="0"/>
          <w:color w:val="0070C0"/>
          <w:sz w:val="28"/>
          <w:szCs w:val="28"/>
        </w:rPr>
        <w:t xml:space="preserve">Name:                  </w:t>
      </w:r>
      <w:r w:rsidR="007641D1" w:rsidRPr="00D17322">
        <w:rPr>
          <w:rStyle w:val="IntenseEmphasis"/>
          <w:rFonts w:ascii="Arial" w:hAnsi="Arial" w:cs="Arial"/>
          <w:i w:val="0"/>
          <w:iCs w:val="0"/>
          <w:color w:val="0070C0"/>
          <w:sz w:val="28"/>
          <w:szCs w:val="28"/>
        </w:rPr>
        <w:t xml:space="preserve"> </w:t>
      </w:r>
      <w:proofErr w:type="spellStart"/>
      <w:r w:rsidRPr="00D17322">
        <w:rPr>
          <w:rStyle w:val="IntenseEmphasis"/>
          <w:rFonts w:ascii="Arial" w:hAnsi="Arial" w:cs="Arial"/>
          <w:i w:val="0"/>
          <w:iCs w:val="0"/>
          <w:color w:val="0070C0"/>
          <w:sz w:val="28"/>
          <w:szCs w:val="28"/>
        </w:rPr>
        <w:t>Mussab</w:t>
      </w:r>
      <w:proofErr w:type="spellEnd"/>
      <w:r w:rsidRPr="00D17322">
        <w:rPr>
          <w:rStyle w:val="IntenseEmphasis"/>
          <w:rFonts w:ascii="Arial" w:hAnsi="Arial" w:cs="Arial"/>
          <w:i w:val="0"/>
          <w:iCs w:val="0"/>
          <w:color w:val="0070C0"/>
          <w:sz w:val="28"/>
          <w:szCs w:val="28"/>
        </w:rPr>
        <w:t xml:space="preserve"> </w:t>
      </w:r>
      <w:proofErr w:type="spellStart"/>
      <w:r w:rsidRPr="00D17322">
        <w:rPr>
          <w:rStyle w:val="IntenseEmphasis"/>
          <w:rFonts w:ascii="Arial" w:hAnsi="Arial" w:cs="Arial"/>
          <w:i w:val="0"/>
          <w:iCs w:val="0"/>
          <w:color w:val="0070C0"/>
          <w:sz w:val="28"/>
          <w:szCs w:val="28"/>
        </w:rPr>
        <w:t>Rehman</w:t>
      </w:r>
      <w:proofErr w:type="spellEnd"/>
    </w:p>
    <w:p w:rsidR="00510E64" w:rsidRPr="00D17322" w:rsidRDefault="00510E64" w:rsidP="00510E64">
      <w:pPr>
        <w:spacing w:line="240" w:lineRule="auto"/>
        <w:ind w:left="2340"/>
        <w:rPr>
          <w:rStyle w:val="IntenseEmphasis"/>
          <w:rFonts w:ascii="Arial" w:hAnsi="Arial" w:cs="Arial"/>
          <w:i w:val="0"/>
          <w:iCs w:val="0"/>
          <w:color w:val="0070C0"/>
          <w:sz w:val="28"/>
          <w:szCs w:val="28"/>
        </w:rPr>
      </w:pPr>
      <w:r w:rsidRPr="00D17322">
        <w:rPr>
          <w:rStyle w:val="IntenseEmphasis"/>
          <w:rFonts w:ascii="Arial" w:hAnsi="Arial" w:cs="Arial"/>
          <w:i w:val="0"/>
          <w:iCs w:val="0"/>
          <w:color w:val="0070C0"/>
          <w:sz w:val="28"/>
          <w:szCs w:val="28"/>
        </w:rPr>
        <w:t>Roll:</w:t>
      </w:r>
      <w:r w:rsidR="007641D1" w:rsidRPr="00D17322">
        <w:rPr>
          <w:rStyle w:val="IntenseEmphasis"/>
          <w:rFonts w:ascii="Arial" w:hAnsi="Arial" w:cs="Arial"/>
          <w:i w:val="0"/>
          <w:iCs w:val="0"/>
          <w:color w:val="0070C0"/>
          <w:sz w:val="28"/>
          <w:szCs w:val="28"/>
        </w:rPr>
        <w:t xml:space="preserve">                      16352</w:t>
      </w:r>
    </w:p>
    <w:p w:rsidR="00510E64" w:rsidRPr="00D17322" w:rsidRDefault="00510E64" w:rsidP="00510E64">
      <w:pPr>
        <w:spacing w:line="240" w:lineRule="auto"/>
        <w:ind w:left="2340"/>
        <w:rPr>
          <w:rStyle w:val="IntenseEmphasis"/>
          <w:rFonts w:ascii="Arial" w:hAnsi="Arial" w:cs="Arial"/>
          <w:i w:val="0"/>
          <w:iCs w:val="0"/>
          <w:color w:val="0070C0"/>
          <w:sz w:val="28"/>
          <w:szCs w:val="28"/>
        </w:rPr>
      </w:pPr>
      <w:r w:rsidRPr="00D17322">
        <w:rPr>
          <w:rStyle w:val="IntenseEmphasis"/>
          <w:rFonts w:ascii="Arial" w:hAnsi="Arial" w:cs="Arial"/>
          <w:i w:val="0"/>
          <w:iCs w:val="0"/>
          <w:color w:val="0070C0"/>
          <w:sz w:val="28"/>
          <w:szCs w:val="28"/>
        </w:rPr>
        <w:t xml:space="preserve">Program:              </w:t>
      </w:r>
      <w:r w:rsidR="007641D1" w:rsidRPr="00D17322">
        <w:rPr>
          <w:rStyle w:val="IntenseEmphasis"/>
          <w:rFonts w:ascii="Arial" w:hAnsi="Arial" w:cs="Arial"/>
          <w:i w:val="0"/>
          <w:iCs w:val="0"/>
          <w:color w:val="0070C0"/>
          <w:sz w:val="28"/>
          <w:szCs w:val="28"/>
        </w:rPr>
        <w:t xml:space="preserve"> </w:t>
      </w:r>
      <w:r w:rsidRPr="00D17322">
        <w:rPr>
          <w:rStyle w:val="IntenseEmphasis"/>
          <w:rFonts w:ascii="Arial" w:hAnsi="Arial" w:cs="Arial"/>
          <w:i w:val="0"/>
          <w:iCs w:val="0"/>
          <w:color w:val="0070C0"/>
          <w:sz w:val="28"/>
          <w:szCs w:val="28"/>
        </w:rPr>
        <w:t>B.B.A</w:t>
      </w:r>
    </w:p>
    <w:p w:rsidR="00510E64" w:rsidRPr="00D17322" w:rsidRDefault="00510E64" w:rsidP="00510E64">
      <w:pPr>
        <w:spacing w:line="240" w:lineRule="auto"/>
        <w:ind w:left="2340"/>
        <w:rPr>
          <w:rStyle w:val="IntenseEmphasis"/>
          <w:rFonts w:ascii="Arial" w:hAnsi="Arial" w:cs="Arial"/>
          <w:i w:val="0"/>
          <w:iCs w:val="0"/>
          <w:color w:val="0070C0"/>
          <w:sz w:val="28"/>
          <w:szCs w:val="28"/>
        </w:rPr>
      </w:pPr>
      <w:r w:rsidRPr="00D17322">
        <w:rPr>
          <w:rStyle w:val="IntenseEmphasis"/>
          <w:rFonts w:ascii="Arial" w:hAnsi="Arial" w:cs="Arial"/>
          <w:i w:val="0"/>
          <w:iCs w:val="0"/>
          <w:color w:val="0070C0"/>
          <w:sz w:val="28"/>
          <w:szCs w:val="28"/>
        </w:rPr>
        <w:t xml:space="preserve">Course:                 </w:t>
      </w:r>
      <w:r w:rsidR="007641D1" w:rsidRPr="00D17322">
        <w:rPr>
          <w:rStyle w:val="IntenseEmphasis"/>
          <w:rFonts w:ascii="Arial" w:hAnsi="Arial" w:cs="Arial"/>
          <w:i w:val="0"/>
          <w:iCs w:val="0"/>
          <w:color w:val="0070C0"/>
          <w:sz w:val="28"/>
          <w:szCs w:val="28"/>
        </w:rPr>
        <w:t xml:space="preserve"> </w:t>
      </w:r>
      <w:r w:rsidRPr="00D17322">
        <w:rPr>
          <w:rStyle w:val="IntenseEmphasis"/>
          <w:rFonts w:ascii="Arial" w:hAnsi="Arial" w:cs="Arial"/>
          <w:i w:val="0"/>
          <w:iCs w:val="0"/>
          <w:color w:val="0070C0"/>
          <w:sz w:val="28"/>
          <w:szCs w:val="28"/>
        </w:rPr>
        <w:t>Mr. Quaid Iqbal</w:t>
      </w:r>
    </w:p>
    <w:p w:rsidR="00510E64" w:rsidRPr="00D17322" w:rsidRDefault="00510E64" w:rsidP="00510E64">
      <w:pPr>
        <w:spacing w:line="240" w:lineRule="auto"/>
        <w:ind w:left="2340"/>
        <w:rPr>
          <w:rStyle w:val="IntenseEmphasis"/>
          <w:rFonts w:ascii="Arial" w:hAnsi="Arial" w:cs="Arial"/>
          <w:i w:val="0"/>
          <w:iCs w:val="0"/>
          <w:color w:val="0070C0"/>
          <w:sz w:val="28"/>
          <w:szCs w:val="28"/>
        </w:rPr>
      </w:pPr>
      <w:r w:rsidRPr="00D17322">
        <w:rPr>
          <w:rStyle w:val="IntenseEmphasis"/>
          <w:rFonts w:ascii="Arial" w:hAnsi="Arial" w:cs="Arial"/>
          <w:i w:val="0"/>
          <w:iCs w:val="0"/>
          <w:color w:val="0070C0"/>
          <w:sz w:val="28"/>
          <w:szCs w:val="28"/>
        </w:rPr>
        <w:t xml:space="preserve">Section:                 </w:t>
      </w:r>
      <w:r w:rsidR="007641D1" w:rsidRPr="00D17322">
        <w:rPr>
          <w:rStyle w:val="IntenseEmphasis"/>
          <w:rFonts w:ascii="Arial" w:hAnsi="Arial" w:cs="Arial"/>
          <w:i w:val="0"/>
          <w:iCs w:val="0"/>
          <w:color w:val="0070C0"/>
          <w:sz w:val="28"/>
          <w:szCs w:val="28"/>
        </w:rPr>
        <w:t xml:space="preserve"> </w:t>
      </w:r>
      <w:r w:rsidRPr="00D17322">
        <w:rPr>
          <w:rStyle w:val="IntenseEmphasis"/>
          <w:rFonts w:ascii="Arial" w:hAnsi="Arial" w:cs="Arial"/>
          <w:i w:val="0"/>
          <w:iCs w:val="0"/>
          <w:color w:val="0070C0"/>
          <w:sz w:val="28"/>
          <w:szCs w:val="28"/>
        </w:rPr>
        <w:t>B</w:t>
      </w:r>
    </w:p>
    <w:p w:rsidR="00510E64" w:rsidRPr="00D17322" w:rsidRDefault="00510E64" w:rsidP="00510E64">
      <w:pPr>
        <w:pBdr>
          <w:bottom w:val="single" w:sz="12" w:space="1" w:color="auto"/>
        </w:pBdr>
        <w:spacing w:line="240" w:lineRule="auto"/>
        <w:ind w:right="90"/>
        <w:rPr>
          <w:rStyle w:val="IntenseEmphasis"/>
          <w:rFonts w:ascii="Arial" w:hAnsi="Arial" w:cs="Arial"/>
          <w:i w:val="0"/>
          <w:iCs w:val="0"/>
          <w:color w:val="0070C0"/>
          <w:sz w:val="28"/>
          <w:szCs w:val="28"/>
        </w:rPr>
      </w:pPr>
      <w:r w:rsidRPr="00D17322">
        <w:rPr>
          <w:rStyle w:val="IntenseEmphasis"/>
          <w:rFonts w:ascii="Arial" w:hAnsi="Arial" w:cs="Arial"/>
          <w:i w:val="0"/>
          <w:iCs w:val="0"/>
          <w:color w:val="0070C0"/>
          <w:sz w:val="28"/>
          <w:szCs w:val="28"/>
        </w:rPr>
        <w:t xml:space="preserve">   </w:t>
      </w:r>
      <w:r w:rsidR="00D17322">
        <w:rPr>
          <w:rStyle w:val="IntenseEmphasis"/>
          <w:rFonts w:ascii="Arial" w:hAnsi="Arial" w:cs="Arial"/>
          <w:i w:val="0"/>
          <w:iCs w:val="0"/>
          <w:color w:val="0070C0"/>
          <w:sz w:val="28"/>
          <w:szCs w:val="28"/>
        </w:rPr>
        <w:t xml:space="preserve">                           </w:t>
      </w:r>
      <w:r w:rsidRPr="00D17322">
        <w:rPr>
          <w:rStyle w:val="IntenseEmphasis"/>
          <w:rFonts w:ascii="Arial" w:hAnsi="Arial" w:cs="Arial"/>
          <w:i w:val="0"/>
          <w:iCs w:val="0"/>
          <w:color w:val="0070C0"/>
          <w:sz w:val="28"/>
          <w:szCs w:val="28"/>
        </w:rPr>
        <w:t xml:space="preserve">Assignment:          </w:t>
      </w:r>
      <w:r w:rsidR="007641D1" w:rsidRPr="00D17322">
        <w:rPr>
          <w:rStyle w:val="IntenseEmphasis"/>
          <w:rFonts w:ascii="Arial" w:hAnsi="Arial" w:cs="Arial"/>
          <w:i w:val="0"/>
          <w:iCs w:val="0"/>
          <w:color w:val="0070C0"/>
          <w:sz w:val="28"/>
          <w:szCs w:val="28"/>
        </w:rPr>
        <w:t xml:space="preserve"> </w:t>
      </w:r>
      <w:r w:rsidRPr="00D17322">
        <w:rPr>
          <w:rStyle w:val="IntenseEmphasis"/>
          <w:rFonts w:ascii="Arial" w:hAnsi="Arial" w:cs="Arial"/>
          <w:i w:val="0"/>
          <w:iCs w:val="0"/>
          <w:color w:val="0070C0"/>
          <w:sz w:val="28"/>
          <w:szCs w:val="28"/>
        </w:rPr>
        <w:t>1</w:t>
      </w:r>
    </w:p>
    <w:p w:rsidR="008D419B" w:rsidRDefault="008D419B" w:rsidP="000E7AFB">
      <w:pPr>
        <w:rPr>
          <w:rFonts w:ascii="Arial" w:hAnsi="Arial" w:cs="Arial"/>
          <w:color w:val="000000" w:themeColor="text1"/>
          <w:sz w:val="24"/>
          <w:szCs w:val="24"/>
        </w:rPr>
      </w:pPr>
      <w:bookmarkStart w:id="0" w:name="_GoBack"/>
      <w:bookmarkEnd w:id="0"/>
    </w:p>
    <w:p w:rsidR="00EC5C00" w:rsidRPr="00EC5C00" w:rsidRDefault="008D419B" w:rsidP="00EC5C00">
      <w:pPr>
        <w:ind w:left="-540" w:right="-360"/>
        <w:rPr>
          <w:rFonts w:ascii="Arial" w:hAnsi="Arial" w:cs="Arial"/>
          <w:b/>
          <w:bCs/>
          <w:color w:val="000000" w:themeColor="text1"/>
          <w:sz w:val="40"/>
          <w:szCs w:val="40"/>
        </w:rPr>
      </w:pPr>
      <w:r>
        <w:rPr>
          <w:rFonts w:ascii="Arial" w:hAnsi="Arial" w:cs="Arial"/>
          <w:color w:val="000000" w:themeColor="text1"/>
          <w:sz w:val="24"/>
          <w:szCs w:val="24"/>
        </w:rPr>
        <w:t xml:space="preserve">                               </w:t>
      </w:r>
      <w:r w:rsidR="00545235">
        <w:rPr>
          <w:rFonts w:ascii="Arial" w:hAnsi="Arial" w:cs="Arial"/>
          <w:color w:val="000000" w:themeColor="text1"/>
          <w:sz w:val="24"/>
          <w:szCs w:val="24"/>
        </w:rPr>
        <w:t xml:space="preserve"> </w:t>
      </w:r>
      <w:r w:rsidRPr="00087C4C">
        <w:rPr>
          <w:rFonts w:ascii="Arial" w:hAnsi="Arial" w:cs="Arial"/>
          <w:b/>
          <w:bCs/>
          <w:color w:val="0070C0"/>
          <w:sz w:val="40"/>
          <w:szCs w:val="4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The mater</w:t>
      </w:r>
      <w:r w:rsidR="00545235" w:rsidRPr="00087C4C">
        <w:rPr>
          <w:rFonts w:ascii="Arial" w:hAnsi="Arial" w:cs="Arial"/>
          <w:b/>
          <w:bCs/>
          <w:color w:val="0070C0"/>
          <w:sz w:val="40"/>
          <w:szCs w:val="4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iality Principle</w:t>
      </w:r>
    </w:p>
    <w:p w:rsidR="00EC5C00" w:rsidRPr="00EC5C00" w:rsidRDefault="00EC5C00" w:rsidP="00EC5C00">
      <w:pPr>
        <w:ind w:left="-540" w:right="-360"/>
        <w:rPr>
          <w:rFonts w:ascii="Arial" w:hAnsi="Arial" w:cs="Arial"/>
          <w:spacing w:val="2"/>
          <w:sz w:val="24"/>
          <w:szCs w:val="24"/>
        </w:rPr>
      </w:pPr>
      <w:r w:rsidRPr="00EC5C00">
        <w:rPr>
          <w:rFonts w:ascii="Arial" w:hAnsi="Arial" w:cs="Arial"/>
          <w:spacing w:val="2"/>
          <w:sz w:val="24"/>
          <w:szCs w:val="24"/>
        </w:rPr>
        <w:t>Materiality in accounting refers to the significance of an overstatement or understatement of financial information. The accountant or financial reporter must determine if this misstatement or error is significant enough to cause an interested party with reasonable knowledge, such as an investor or business associate, to make an incorrect judgment. This definition omits an absolute limit that you must use to declare materiality limits, so you must rely on your professional judgment to form a basis for your calculations.</w:t>
      </w:r>
    </w:p>
    <w:p w:rsidR="000E7AFB" w:rsidRPr="000E7AFB" w:rsidRDefault="000E7AFB" w:rsidP="008D419B">
      <w:pPr>
        <w:ind w:left="-540" w:right="-360"/>
        <w:rPr>
          <w:rFonts w:ascii="Arial" w:hAnsi="Arial" w:cs="Arial"/>
          <w:color w:val="000000" w:themeColor="text1"/>
          <w:sz w:val="24"/>
          <w:szCs w:val="24"/>
        </w:rPr>
      </w:pPr>
      <w:r w:rsidRPr="000E7AFB">
        <w:rPr>
          <w:rFonts w:ascii="Arial" w:hAnsi="Arial" w:cs="Arial"/>
          <w:color w:val="000000" w:themeColor="text1"/>
          <w:sz w:val="24"/>
          <w:szCs w:val="24"/>
        </w:rPr>
        <w:t xml:space="preserve">The materiality principle states that an </w:t>
      </w:r>
      <w:hyperlink r:id="rId4" w:history="1">
        <w:r w:rsidRPr="000E7AFB">
          <w:rPr>
            <w:rFonts w:ascii="Arial" w:hAnsi="Arial" w:cs="Arial"/>
            <w:color w:val="000000" w:themeColor="text1"/>
            <w:sz w:val="24"/>
            <w:szCs w:val="24"/>
          </w:rPr>
          <w:t>accounting standard</w:t>
        </w:r>
      </w:hyperlink>
      <w:r w:rsidRPr="000E7AFB">
        <w:rPr>
          <w:rFonts w:ascii="Arial" w:hAnsi="Arial" w:cs="Arial"/>
          <w:color w:val="000000" w:themeColor="text1"/>
          <w:sz w:val="24"/>
          <w:szCs w:val="24"/>
        </w:rPr>
        <w:t xml:space="preserve"> can be ignored if the net impact of doing so has such a small impact on the </w:t>
      </w:r>
      <w:hyperlink r:id="rId5" w:history="1">
        <w:r w:rsidRPr="000E7AFB">
          <w:rPr>
            <w:rFonts w:ascii="Arial" w:hAnsi="Arial" w:cs="Arial"/>
            <w:color w:val="000000" w:themeColor="text1"/>
            <w:sz w:val="24"/>
            <w:szCs w:val="24"/>
          </w:rPr>
          <w:t>financial statements</w:t>
        </w:r>
      </w:hyperlink>
      <w:r w:rsidRPr="000E7AFB">
        <w:rPr>
          <w:rFonts w:ascii="Arial" w:hAnsi="Arial" w:cs="Arial"/>
          <w:color w:val="000000" w:themeColor="text1"/>
          <w:sz w:val="24"/>
          <w:szCs w:val="24"/>
        </w:rPr>
        <w:t xml:space="preserve"> that a user of the statements would not be misled. Under generally accepted accounting principles (</w:t>
      </w:r>
      <w:hyperlink r:id="rId6" w:history="1">
        <w:r w:rsidRPr="000E7AFB">
          <w:rPr>
            <w:rFonts w:ascii="Arial" w:hAnsi="Arial" w:cs="Arial"/>
            <w:color w:val="000000" w:themeColor="text1"/>
            <w:sz w:val="24"/>
            <w:szCs w:val="24"/>
          </w:rPr>
          <w:t>GAAP</w:t>
        </w:r>
      </w:hyperlink>
      <w:r w:rsidRPr="000E7AFB">
        <w:rPr>
          <w:rFonts w:ascii="Arial" w:hAnsi="Arial" w:cs="Arial"/>
          <w:color w:val="000000" w:themeColor="text1"/>
          <w:sz w:val="24"/>
          <w:szCs w:val="24"/>
        </w:rPr>
        <w:t xml:space="preserve">), you do not have to implement the provisions of an accounting standard if an item is immaterial. This definition does not provide definitive guidance in distinguishing material information from immaterial information, so it is necessary to exercise judgment in deciding if a </w:t>
      </w:r>
      <w:hyperlink r:id="rId7" w:history="1">
        <w:r w:rsidRPr="000E7AFB">
          <w:rPr>
            <w:rFonts w:ascii="Arial" w:hAnsi="Arial" w:cs="Arial"/>
            <w:color w:val="000000" w:themeColor="text1"/>
            <w:sz w:val="24"/>
            <w:szCs w:val="24"/>
          </w:rPr>
          <w:t>transaction</w:t>
        </w:r>
      </w:hyperlink>
      <w:r w:rsidRPr="000E7AFB">
        <w:rPr>
          <w:rFonts w:ascii="Arial" w:hAnsi="Arial" w:cs="Arial"/>
          <w:color w:val="000000" w:themeColor="text1"/>
          <w:sz w:val="24"/>
          <w:szCs w:val="24"/>
        </w:rPr>
        <w:t xml:space="preserve"> is material.</w:t>
      </w:r>
    </w:p>
    <w:p w:rsidR="000E7AFB" w:rsidRPr="000E7AFB" w:rsidRDefault="000E7AFB" w:rsidP="008D419B">
      <w:pPr>
        <w:ind w:left="-540" w:right="-360"/>
        <w:rPr>
          <w:rFonts w:ascii="Arial" w:hAnsi="Arial" w:cs="Arial"/>
          <w:color w:val="000000" w:themeColor="text1"/>
          <w:sz w:val="24"/>
          <w:szCs w:val="24"/>
        </w:rPr>
      </w:pPr>
      <w:r w:rsidRPr="000E7AFB">
        <w:rPr>
          <w:rFonts w:ascii="Arial" w:hAnsi="Arial" w:cs="Arial"/>
          <w:color w:val="000000" w:themeColor="text1"/>
          <w:sz w:val="24"/>
          <w:szCs w:val="24"/>
        </w:rPr>
        <w:t xml:space="preserve">The </w:t>
      </w:r>
      <w:hyperlink r:id="rId8" w:history="1">
        <w:r w:rsidRPr="000E7AFB">
          <w:rPr>
            <w:rFonts w:ascii="Arial" w:hAnsi="Arial" w:cs="Arial"/>
            <w:color w:val="000000" w:themeColor="text1"/>
            <w:sz w:val="24"/>
            <w:szCs w:val="24"/>
          </w:rPr>
          <w:t>Securities and Exchange Commission</w:t>
        </w:r>
      </w:hyperlink>
      <w:r w:rsidRPr="000E7AFB">
        <w:rPr>
          <w:rFonts w:ascii="Arial" w:hAnsi="Arial" w:cs="Arial"/>
          <w:color w:val="000000" w:themeColor="text1"/>
          <w:sz w:val="24"/>
          <w:szCs w:val="24"/>
        </w:rPr>
        <w:t xml:space="preserve"> has suggested for presentation purposes that an item representing at least 5% of total </w:t>
      </w:r>
      <w:hyperlink r:id="rId9" w:history="1">
        <w:r w:rsidRPr="000E7AFB">
          <w:rPr>
            <w:rFonts w:ascii="Arial" w:hAnsi="Arial" w:cs="Arial"/>
            <w:color w:val="000000" w:themeColor="text1"/>
            <w:sz w:val="24"/>
            <w:szCs w:val="24"/>
          </w:rPr>
          <w:t>assets</w:t>
        </w:r>
      </w:hyperlink>
      <w:r w:rsidRPr="000E7AFB">
        <w:rPr>
          <w:rFonts w:ascii="Arial" w:hAnsi="Arial" w:cs="Arial"/>
          <w:color w:val="000000" w:themeColor="text1"/>
          <w:sz w:val="24"/>
          <w:szCs w:val="24"/>
        </w:rPr>
        <w:t xml:space="preserve"> should be separately disclosed in the </w:t>
      </w:r>
      <w:hyperlink r:id="rId10" w:history="1">
        <w:r w:rsidRPr="000E7AFB">
          <w:rPr>
            <w:rFonts w:ascii="Arial" w:hAnsi="Arial" w:cs="Arial"/>
            <w:color w:val="000000" w:themeColor="text1"/>
            <w:sz w:val="24"/>
            <w:szCs w:val="24"/>
          </w:rPr>
          <w:t>balance sheet</w:t>
        </w:r>
      </w:hyperlink>
      <w:r w:rsidRPr="000E7AFB">
        <w:rPr>
          <w:rFonts w:ascii="Arial" w:hAnsi="Arial" w:cs="Arial"/>
          <w:color w:val="000000" w:themeColor="text1"/>
          <w:sz w:val="24"/>
          <w:szCs w:val="24"/>
        </w:rPr>
        <w:t xml:space="preserve">. However, much smaller items may be considered material. For example, if a minor item would </w:t>
      </w:r>
      <w:proofErr w:type="gramStart"/>
      <w:r w:rsidRPr="000E7AFB">
        <w:rPr>
          <w:rFonts w:ascii="Arial" w:hAnsi="Arial" w:cs="Arial"/>
          <w:color w:val="000000" w:themeColor="text1"/>
          <w:sz w:val="24"/>
          <w:szCs w:val="24"/>
        </w:rPr>
        <w:t>have</w:t>
      </w:r>
      <w:proofErr w:type="gramEnd"/>
      <w:r w:rsidRPr="000E7AFB">
        <w:rPr>
          <w:rFonts w:ascii="Arial" w:hAnsi="Arial" w:cs="Arial"/>
          <w:color w:val="000000" w:themeColor="text1"/>
          <w:sz w:val="24"/>
          <w:szCs w:val="24"/>
        </w:rPr>
        <w:t xml:space="preserve"> changed a </w:t>
      </w:r>
      <w:hyperlink r:id="rId11" w:history="1">
        <w:r w:rsidRPr="000E7AFB">
          <w:rPr>
            <w:rFonts w:ascii="Arial" w:hAnsi="Arial" w:cs="Arial"/>
            <w:color w:val="000000" w:themeColor="text1"/>
            <w:sz w:val="24"/>
            <w:szCs w:val="24"/>
          </w:rPr>
          <w:t>net profit</w:t>
        </w:r>
      </w:hyperlink>
      <w:r w:rsidRPr="000E7AFB">
        <w:rPr>
          <w:rFonts w:ascii="Arial" w:hAnsi="Arial" w:cs="Arial"/>
          <w:color w:val="000000" w:themeColor="text1"/>
          <w:sz w:val="24"/>
          <w:szCs w:val="24"/>
        </w:rPr>
        <w:t xml:space="preserve"> to a </w:t>
      </w:r>
      <w:hyperlink r:id="rId12" w:history="1">
        <w:r w:rsidRPr="000E7AFB">
          <w:rPr>
            <w:rFonts w:ascii="Arial" w:hAnsi="Arial" w:cs="Arial"/>
            <w:color w:val="000000" w:themeColor="text1"/>
            <w:sz w:val="24"/>
            <w:szCs w:val="24"/>
          </w:rPr>
          <w:t>net loss</w:t>
        </w:r>
      </w:hyperlink>
      <w:r w:rsidRPr="000E7AFB">
        <w:rPr>
          <w:rFonts w:ascii="Arial" w:hAnsi="Arial" w:cs="Arial"/>
          <w:color w:val="000000" w:themeColor="text1"/>
          <w:sz w:val="24"/>
          <w:szCs w:val="24"/>
        </w:rPr>
        <w:t xml:space="preserve">, then it could be considered material, no matter how small it might be. Similarly, a transaction would be considered material if its inclusion in the financial statements would change a </w:t>
      </w:r>
      <w:hyperlink r:id="rId13" w:history="1">
        <w:r w:rsidRPr="000E7AFB">
          <w:rPr>
            <w:rFonts w:ascii="Arial" w:hAnsi="Arial" w:cs="Arial"/>
            <w:color w:val="000000" w:themeColor="text1"/>
            <w:sz w:val="24"/>
            <w:szCs w:val="24"/>
          </w:rPr>
          <w:t>ratio</w:t>
        </w:r>
      </w:hyperlink>
      <w:r w:rsidRPr="000E7AFB">
        <w:rPr>
          <w:rFonts w:ascii="Arial" w:hAnsi="Arial" w:cs="Arial"/>
          <w:color w:val="000000" w:themeColor="text1"/>
          <w:sz w:val="24"/>
          <w:szCs w:val="24"/>
        </w:rPr>
        <w:t xml:space="preserve"> sufficiently to bring an entity out of compliance with its lender </w:t>
      </w:r>
      <w:hyperlink r:id="rId14" w:history="1">
        <w:r w:rsidRPr="000E7AFB">
          <w:rPr>
            <w:rFonts w:ascii="Arial" w:hAnsi="Arial" w:cs="Arial"/>
            <w:color w:val="000000" w:themeColor="text1"/>
            <w:sz w:val="24"/>
            <w:szCs w:val="24"/>
          </w:rPr>
          <w:t>covenants</w:t>
        </w:r>
      </w:hyperlink>
      <w:r w:rsidRPr="000E7AFB">
        <w:rPr>
          <w:rFonts w:ascii="Arial" w:hAnsi="Arial" w:cs="Arial"/>
          <w:color w:val="000000" w:themeColor="text1"/>
          <w:sz w:val="24"/>
          <w:szCs w:val="24"/>
        </w:rPr>
        <w:t>.</w:t>
      </w:r>
    </w:p>
    <w:p w:rsidR="000E7AFB" w:rsidRPr="000E7AFB" w:rsidRDefault="007B3BF3" w:rsidP="00EC5C00">
      <w:pPr>
        <w:ind w:left="-540" w:right="-360"/>
        <w:rPr>
          <w:rFonts w:ascii="Arial" w:hAnsi="Arial" w:cs="Arial"/>
          <w:color w:val="000000" w:themeColor="text1"/>
          <w:sz w:val="24"/>
          <w:szCs w:val="24"/>
        </w:rPr>
      </w:pPr>
      <w:r w:rsidRPr="00087C4C">
        <w:rPr>
          <w:rFonts w:ascii="Arial" w:hAnsi="Arial" w:cs="Arial"/>
          <w:b/>
          <w:bCs/>
          <w:color w:val="0070C0"/>
          <w:sz w:val="32"/>
          <w:szCs w:val="32"/>
        </w:rPr>
        <w:t>E</w:t>
      </w:r>
      <w:r w:rsidR="000E7AFB" w:rsidRPr="00087C4C">
        <w:rPr>
          <w:rFonts w:ascii="Arial" w:hAnsi="Arial" w:cs="Arial"/>
          <w:b/>
          <w:bCs/>
          <w:color w:val="0070C0"/>
          <w:sz w:val="32"/>
          <w:szCs w:val="32"/>
        </w:rPr>
        <w:t>xample</w:t>
      </w:r>
      <w:r w:rsidRPr="00087C4C">
        <w:rPr>
          <w:rFonts w:ascii="Arial" w:hAnsi="Arial" w:cs="Arial"/>
          <w:b/>
          <w:bCs/>
          <w:color w:val="0070C0"/>
          <w:sz w:val="32"/>
          <w:szCs w:val="32"/>
        </w:rPr>
        <w:t>:</w:t>
      </w:r>
      <w:r w:rsidR="000E7AFB" w:rsidRPr="00087C4C">
        <w:rPr>
          <w:rFonts w:ascii="Arial" w:hAnsi="Arial" w:cs="Arial"/>
          <w:color w:val="0070C0"/>
          <w:sz w:val="32"/>
          <w:szCs w:val="32"/>
        </w:rPr>
        <w:t xml:space="preserve"> </w:t>
      </w:r>
      <w:r>
        <w:rPr>
          <w:rFonts w:ascii="Arial" w:hAnsi="Arial" w:cs="Arial"/>
          <w:color w:val="000000" w:themeColor="text1"/>
          <w:sz w:val="24"/>
          <w:szCs w:val="24"/>
        </w:rPr>
        <w:t>A</w:t>
      </w:r>
      <w:r w:rsidR="000E7AFB" w:rsidRPr="000E7AFB">
        <w:rPr>
          <w:rFonts w:ascii="Arial" w:hAnsi="Arial" w:cs="Arial"/>
          <w:color w:val="000000" w:themeColor="text1"/>
          <w:sz w:val="24"/>
          <w:szCs w:val="24"/>
        </w:rPr>
        <w:t xml:space="preserve"> clearly immaterial item, you may have prepaid $100 of rent on a post office box that covers the next six months; under the </w:t>
      </w:r>
      <w:hyperlink r:id="rId15" w:history="1">
        <w:r w:rsidR="000E7AFB" w:rsidRPr="000E7AFB">
          <w:rPr>
            <w:rFonts w:ascii="Arial" w:hAnsi="Arial" w:cs="Arial"/>
            <w:color w:val="000000" w:themeColor="text1"/>
            <w:sz w:val="24"/>
            <w:szCs w:val="24"/>
          </w:rPr>
          <w:t>matching principle</w:t>
        </w:r>
      </w:hyperlink>
      <w:r w:rsidR="000E7AFB" w:rsidRPr="000E7AFB">
        <w:rPr>
          <w:rFonts w:ascii="Arial" w:hAnsi="Arial" w:cs="Arial"/>
          <w:color w:val="000000" w:themeColor="text1"/>
          <w:sz w:val="24"/>
          <w:szCs w:val="24"/>
        </w:rPr>
        <w:t xml:space="preserve">, you should charge the rent to </w:t>
      </w:r>
      <w:hyperlink r:id="rId16" w:history="1">
        <w:r w:rsidR="000E7AFB" w:rsidRPr="000E7AFB">
          <w:rPr>
            <w:rFonts w:ascii="Arial" w:hAnsi="Arial" w:cs="Arial"/>
            <w:color w:val="000000" w:themeColor="text1"/>
            <w:sz w:val="24"/>
            <w:szCs w:val="24"/>
          </w:rPr>
          <w:t>expense</w:t>
        </w:r>
      </w:hyperlink>
      <w:r w:rsidR="000E7AFB" w:rsidRPr="000E7AFB">
        <w:rPr>
          <w:rFonts w:ascii="Arial" w:hAnsi="Arial" w:cs="Arial"/>
          <w:color w:val="000000" w:themeColor="text1"/>
          <w:sz w:val="24"/>
          <w:szCs w:val="24"/>
        </w:rPr>
        <w:t xml:space="preserve"> over six months. However, the amount of the expense is so small that no reader of the financial statements will be misled if the entire $100 is charged to expense in the current period, rather than spreading it over the usage period. In fact, if the financial statements are rounded to the nearest thousand or million dollars, this transaction would not alter the financial statements at </w:t>
      </w:r>
      <w:r w:rsidR="00BC0485" w:rsidRPr="000E7AFB">
        <w:rPr>
          <w:rFonts w:ascii="Arial" w:hAnsi="Arial" w:cs="Arial"/>
          <w:color w:val="000000" w:themeColor="text1"/>
          <w:sz w:val="24"/>
          <w:szCs w:val="24"/>
        </w:rPr>
        <w:t>all. The</w:t>
      </w:r>
      <w:r w:rsidR="000E7AFB" w:rsidRPr="000E7AFB">
        <w:rPr>
          <w:rFonts w:ascii="Arial" w:hAnsi="Arial" w:cs="Arial"/>
          <w:color w:val="000000" w:themeColor="text1"/>
          <w:sz w:val="24"/>
          <w:szCs w:val="24"/>
        </w:rPr>
        <w:t xml:space="preserve"> materiality concept varies based on the size of the entity. A massive multi-national company may consider a $1 million transaction to be immaterial in proportion to its total activity, but $1 million could exceed the </w:t>
      </w:r>
      <w:hyperlink r:id="rId17" w:history="1">
        <w:r w:rsidR="000E7AFB" w:rsidRPr="000E7AFB">
          <w:rPr>
            <w:rFonts w:ascii="Arial" w:hAnsi="Arial" w:cs="Arial"/>
            <w:color w:val="000000" w:themeColor="text1"/>
            <w:sz w:val="24"/>
            <w:szCs w:val="24"/>
          </w:rPr>
          <w:t>revenues</w:t>
        </w:r>
      </w:hyperlink>
      <w:r w:rsidR="000E7AFB" w:rsidRPr="000E7AFB">
        <w:rPr>
          <w:rFonts w:ascii="Arial" w:hAnsi="Arial" w:cs="Arial"/>
          <w:color w:val="000000" w:themeColor="text1"/>
          <w:sz w:val="24"/>
          <w:szCs w:val="24"/>
        </w:rPr>
        <w:t xml:space="preserve"> of a small local firm, and so would be very material for that smaller </w:t>
      </w:r>
      <w:r w:rsidR="00EC5C00" w:rsidRPr="000E7AFB">
        <w:rPr>
          <w:rFonts w:ascii="Arial" w:hAnsi="Arial" w:cs="Arial"/>
          <w:color w:val="000000" w:themeColor="text1"/>
          <w:sz w:val="24"/>
          <w:szCs w:val="24"/>
        </w:rPr>
        <w:t>company. The</w:t>
      </w:r>
      <w:r w:rsidR="000E7AFB" w:rsidRPr="000E7AFB">
        <w:rPr>
          <w:rFonts w:ascii="Arial" w:hAnsi="Arial" w:cs="Arial"/>
          <w:color w:val="000000" w:themeColor="text1"/>
          <w:sz w:val="24"/>
          <w:szCs w:val="24"/>
        </w:rPr>
        <w:t xml:space="preserve"> materiality principle is especially important when deciding whether a transaction should be recorded as part of the </w:t>
      </w:r>
      <w:hyperlink r:id="rId18" w:history="1">
        <w:r w:rsidR="000E7AFB" w:rsidRPr="000E7AFB">
          <w:rPr>
            <w:rFonts w:ascii="Arial" w:hAnsi="Arial" w:cs="Arial"/>
            <w:color w:val="000000" w:themeColor="text1"/>
            <w:sz w:val="24"/>
            <w:szCs w:val="24"/>
          </w:rPr>
          <w:t>closing process</w:t>
        </w:r>
      </w:hyperlink>
      <w:r w:rsidR="000E7AFB" w:rsidRPr="000E7AFB">
        <w:rPr>
          <w:rFonts w:ascii="Arial" w:hAnsi="Arial" w:cs="Arial"/>
          <w:color w:val="000000" w:themeColor="text1"/>
          <w:sz w:val="24"/>
          <w:szCs w:val="24"/>
        </w:rPr>
        <w:t xml:space="preserve">, since eliminating some transactions can significantly reduce the amount of time required to issue financial statements. It is useful to discuss with the company's </w:t>
      </w:r>
      <w:hyperlink r:id="rId19" w:history="1">
        <w:r w:rsidR="000E7AFB" w:rsidRPr="000E7AFB">
          <w:rPr>
            <w:rFonts w:ascii="Arial" w:hAnsi="Arial" w:cs="Arial"/>
            <w:color w:val="000000" w:themeColor="text1"/>
            <w:sz w:val="24"/>
            <w:szCs w:val="24"/>
          </w:rPr>
          <w:t>auditors</w:t>
        </w:r>
      </w:hyperlink>
      <w:r w:rsidR="000E7AFB" w:rsidRPr="000E7AFB">
        <w:rPr>
          <w:rFonts w:ascii="Arial" w:hAnsi="Arial" w:cs="Arial"/>
          <w:color w:val="000000" w:themeColor="text1"/>
          <w:sz w:val="24"/>
          <w:szCs w:val="24"/>
        </w:rPr>
        <w:t xml:space="preserve"> what constitutes a material item, so that there will be no issues with these items when the financial statements are </w:t>
      </w:r>
      <w:hyperlink r:id="rId20" w:history="1">
        <w:r w:rsidR="000E7AFB" w:rsidRPr="000E7AFB">
          <w:rPr>
            <w:rFonts w:ascii="Arial" w:hAnsi="Arial" w:cs="Arial"/>
            <w:color w:val="000000" w:themeColor="text1"/>
            <w:sz w:val="24"/>
            <w:szCs w:val="24"/>
          </w:rPr>
          <w:t>audited</w:t>
        </w:r>
      </w:hyperlink>
      <w:r w:rsidR="000E7AFB" w:rsidRPr="000E7AFB">
        <w:rPr>
          <w:rFonts w:ascii="Arial" w:hAnsi="Arial" w:cs="Arial"/>
          <w:color w:val="000000" w:themeColor="text1"/>
          <w:sz w:val="24"/>
          <w:szCs w:val="24"/>
        </w:rPr>
        <w:t>.</w:t>
      </w:r>
    </w:p>
    <w:p w:rsidR="000E7AFB" w:rsidRPr="00087C4C" w:rsidRDefault="000E7AFB" w:rsidP="008D419B">
      <w:pPr>
        <w:ind w:left="-540" w:right="-360"/>
        <w:rPr>
          <w:rFonts w:ascii="Arial" w:eastAsia="Times New Roman" w:hAnsi="Arial" w:cs="Arial"/>
          <w:color w:val="0070C0"/>
          <w:spacing w:val="5"/>
          <w:sz w:val="24"/>
          <w:szCs w:val="24"/>
        </w:rPr>
      </w:pPr>
      <w:r w:rsidRPr="00087C4C">
        <w:rPr>
          <w:rFonts w:ascii="Arial" w:eastAsia="Times New Roman" w:hAnsi="Arial" w:cs="Arial"/>
          <w:b/>
          <w:bCs/>
          <w:color w:val="0070C0"/>
          <w:spacing w:val="5"/>
          <w:sz w:val="28"/>
          <w:szCs w:val="28"/>
        </w:rPr>
        <w:lastRenderedPageBreak/>
        <w:t>Similar Terms</w:t>
      </w:r>
      <w:r w:rsidR="008D419B" w:rsidRPr="00087C4C">
        <w:rPr>
          <w:rFonts w:ascii="Arial" w:eastAsia="Times New Roman" w:hAnsi="Arial" w:cs="Arial"/>
          <w:b/>
          <w:bCs/>
          <w:color w:val="0070C0"/>
          <w:spacing w:val="5"/>
          <w:sz w:val="28"/>
          <w:szCs w:val="28"/>
        </w:rPr>
        <w:t>:</w:t>
      </w:r>
    </w:p>
    <w:p w:rsidR="00BC0485" w:rsidRDefault="000E7AFB" w:rsidP="008D419B">
      <w:pPr>
        <w:ind w:left="-540" w:right="-360"/>
        <w:rPr>
          <w:rFonts w:ascii="Arial" w:eastAsia="Times New Roman" w:hAnsi="Arial" w:cs="Arial"/>
          <w:color w:val="000000" w:themeColor="text1"/>
          <w:spacing w:val="5"/>
          <w:sz w:val="24"/>
          <w:szCs w:val="24"/>
        </w:rPr>
      </w:pPr>
      <w:r w:rsidRPr="000E7AFB">
        <w:rPr>
          <w:rFonts w:ascii="Arial" w:eastAsia="Times New Roman" w:hAnsi="Arial" w:cs="Arial"/>
          <w:color w:val="000000" w:themeColor="text1"/>
          <w:spacing w:val="5"/>
          <w:sz w:val="24"/>
          <w:szCs w:val="24"/>
        </w:rPr>
        <w:t>The materiality principle is also known as the materiality concept.</w:t>
      </w:r>
    </w:p>
    <w:p w:rsidR="00EC5C00" w:rsidRPr="00087C4C" w:rsidRDefault="00EC5C00" w:rsidP="008D419B">
      <w:pPr>
        <w:ind w:left="-540" w:right="-360"/>
        <w:rPr>
          <w:rFonts w:ascii="Arial" w:eastAsia="Times New Roman" w:hAnsi="Arial" w:cs="Arial"/>
          <w:color w:val="0070C0"/>
          <w:spacing w:val="5"/>
          <w:sz w:val="24"/>
          <w:szCs w:val="24"/>
        </w:rPr>
      </w:pPr>
    </w:p>
    <w:p w:rsidR="00404D71" w:rsidRPr="00087C4C" w:rsidRDefault="00404D71" w:rsidP="00EC5C00">
      <w:pPr>
        <w:ind w:left="-540"/>
        <w:rPr>
          <w:rFonts w:ascii="Arial" w:eastAsia="Times New Roman" w:hAnsi="Arial" w:cs="Arial"/>
          <w:color w:val="0070C0"/>
          <w:spacing w:val="5"/>
          <w:sz w:val="24"/>
          <w:szCs w:val="24"/>
        </w:rPr>
      </w:pPr>
      <w:r w:rsidRPr="00087C4C">
        <w:rPr>
          <w:rFonts w:ascii="Arial" w:hAnsi="Arial" w:cs="Arial"/>
          <w:b/>
          <w:bCs/>
          <w:color w:val="0070C0"/>
          <w:sz w:val="32"/>
          <w:szCs w:val="32"/>
        </w:rPr>
        <w:t>Basis:</w:t>
      </w:r>
    </w:p>
    <w:p w:rsidR="00404D71" w:rsidRDefault="00404D71" w:rsidP="00404D71">
      <w:pPr>
        <w:ind w:left="-540" w:right="-360"/>
        <w:rPr>
          <w:rFonts w:ascii="Arial" w:hAnsi="Arial" w:cs="Arial"/>
          <w:spacing w:val="2"/>
          <w:sz w:val="24"/>
          <w:szCs w:val="24"/>
        </w:rPr>
      </w:pPr>
      <w:r w:rsidRPr="00404D71">
        <w:rPr>
          <w:rFonts w:ascii="Arial" w:hAnsi="Arial" w:cs="Arial"/>
          <w:spacing w:val="2"/>
          <w:sz w:val="24"/>
          <w:szCs w:val="24"/>
        </w:rPr>
        <w:t>No accounting standard has defined an absolute basis of determining materiality; the financial industry commonly uses 5 percent of net assets. Materiality is not a one size fits all, and the method one organization uses may not be appropriate for all organizations. A 5 percent threshold or even a percentage of net assets is not the only guideline organizations use. You can also use a relationship to your revenues to determining materiality. Whichever method you choose, the rule of thumb is to apply your predetermined percentage to a base amount, whether it's total assets, revenues or specific book values.</w:t>
      </w:r>
    </w:p>
    <w:p w:rsidR="00404D71" w:rsidRDefault="00404D71" w:rsidP="00404D71">
      <w:pPr>
        <w:ind w:left="-540" w:right="-360"/>
        <w:rPr>
          <w:rFonts w:ascii="Arial" w:hAnsi="Arial" w:cs="Arial"/>
          <w:spacing w:val="2"/>
          <w:sz w:val="24"/>
          <w:szCs w:val="24"/>
        </w:rPr>
      </w:pPr>
    </w:p>
    <w:p w:rsidR="00404D71" w:rsidRPr="00087C4C" w:rsidRDefault="00404D71" w:rsidP="00404D71">
      <w:pPr>
        <w:ind w:left="-540" w:right="-360"/>
        <w:rPr>
          <w:rFonts w:ascii="Arial" w:hAnsi="Arial" w:cs="Arial"/>
          <w:b/>
          <w:bCs/>
          <w:color w:val="0070C0"/>
          <w:sz w:val="32"/>
          <w:szCs w:val="32"/>
        </w:rPr>
      </w:pPr>
      <w:r w:rsidRPr="00087C4C">
        <w:rPr>
          <w:rFonts w:ascii="Arial" w:hAnsi="Arial" w:cs="Arial"/>
          <w:b/>
          <w:bCs/>
          <w:color w:val="0070C0"/>
          <w:sz w:val="32"/>
          <w:szCs w:val="32"/>
        </w:rPr>
        <w:t>Other Concerns:</w:t>
      </w:r>
    </w:p>
    <w:p w:rsidR="00404D71" w:rsidRPr="00404D71" w:rsidRDefault="00404D71" w:rsidP="00404D71">
      <w:pPr>
        <w:ind w:left="-540" w:right="-360"/>
        <w:rPr>
          <w:rFonts w:ascii="Arial" w:hAnsi="Arial" w:cs="Arial"/>
          <w:spacing w:val="2"/>
          <w:sz w:val="24"/>
          <w:szCs w:val="24"/>
        </w:rPr>
      </w:pPr>
      <w:r w:rsidRPr="00404D71">
        <w:rPr>
          <w:rFonts w:ascii="Arial" w:hAnsi="Arial" w:cs="Arial"/>
          <w:spacing w:val="2"/>
          <w:sz w:val="24"/>
          <w:szCs w:val="24"/>
        </w:rPr>
        <w:t>Items defined as immaterial may still have a substantial impact on your company’s overall financial position or performance. In this case, even though the item meets the immateriality definition, you must treat it as a material item. For example, consider an overstatement in depreciation calculation that makes the profit just $10 short of falling in the taxable range. If you recalculated the depreciation, the overall profit would increase, making it taxable. This error, although amounting to a small amount, alters an investor's judgment and is thus considered material</w:t>
      </w:r>
    </w:p>
    <w:p w:rsidR="00404D71" w:rsidRPr="00087C4C" w:rsidRDefault="00404D71" w:rsidP="00404D71">
      <w:pPr>
        <w:ind w:left="-540" w:right="-360"/>
        <w:rPr>
          <w:rFonts w:ascii="Arial" w:hAnsi="Arial" w:cs="Arial"/>
          <w:b/>
          <w:bCs/>
          <w:color w:val="0070C0"/>
          <w:sz w:val="32"/>
          <w:szCs w:val="32"/>
        </w:rPr>
      </w:pPr>
      <w:r w:rsidRPr="00087C4C">
        <w:rPr>
          <w:rFonts w:ascii="Arial" w:hAnsi="Arial" w:cs="Arial"/>
          <w:b/>
          <w:bCs/>
          <w:color w:val="0070C0"/>
          <w:sz w:val="32"/>
          <w:szCs w:val="32"/>
        </w:rPr>
        <w:t>Variations in Materiality:</w:t>
      </w:r>
    </w:p>
    <w:p w:rsidR="00404D71" w:rsidRDefault="00404D71" w:rsidP="00404D71">
      <w:pPr>
        <w:ind w:left="-540" w:right="-360"/>
        <w:rPr>
          <w:rFonts w:ascii="Arial" w:hAnsi="Arial" w:cs="Arial"/>
          <w:spacing w:val="2"/>
          <w:sz w:val="24"/>
          <w:szCs w:val="24"/>
        </w:rPr>
      </w:pPr>
      <w:r w:rsidRPr="00404D71">
        <w:rPr>
          <w:rFonts w:ascii="Arial" w:hAnsi="Arial" w:cs="Arial"/>
          <w:spacing w:val="2"/>
          <w:sz w:val="24"/>
          <w:szCs w:val="24"/>
        </w:rPr>
        <w:t>Materiality varies based on the size of an organization. For a large corporation with revenues exceeding billions of dollars, a million-dollar transaction might not mean much. However, this “small” figure might be more than the revenues of several small businesses combined. Materiality, therefore, has to be defined separately for each organization and cannot be compared among organizations. When organizations use the standard methods, the materiality amount automatically changes according to size, which is measured in terms of revenue, assets, equity or whatever base amount the organization selected.</w:t>
      </w:r>
    </w:p>
    <w:p w:rsidR="0018429B" w:rsidRPr="0018429B" w:rsidRDefault="0018429B" w:rsidP="0018429B">
      <w:pPr>
        <w:ind w:left="-540" w:right="-360"/>
        <w:rPr>
          <w:rFonts w:ascii="Arial" w:hAnsi="Arial" w:cs="Arial"/>
          <w:sz w:val="24"/>
          <w:szCs w:val="24"/>
        </w:rPr>
      </w:pPr>
      <w:r>
        <w:rPr>
          <w:rFonts w:ascii="Arial" w:hAnsi="Arial" w:cs="Arial"/>
          <w:sz w:val="24"/>
          <w:szCs w:val="24"/>
        </w:rPr>
        <w:t xml:space="preserve">So </w:t>
      </w:r>
      <w:r w:rsidR="00552107" w:rsidRPr="0018429B">
        <w:rPr>
          <w:rFonts w:ascii="Arial" w:hAnsi="Arial" w:cs="Arial"/>
          <w:sz w:val="24"/>
          <w:szCs w:val="24"/>
        </w:rPr>
        <w:t>the</w:t>
      </w:r>
      <w:r w:rsidRPr="0018429B">
        <w:rPr>
          <w:rFonts w:ascii="Arial" w:hAnsi="Arial" w:cs="Arial"/>
          <w:sz w:val="24"/>
          <w:szCs w:val="24"/>
        </w:rPr>
        <w:t xml:space="preserve"> materiality Principle is not only protected the shareholder’s and investors’ interest but also help to account for preparing its Financial Statements.</w:t>
      </w:r>
    </w:p>
    <w:p w:rsidR="0018429B" w:rsidRPr="0018429B" w:rsidRDefault="0018429B" w:rsidP="0018429B">
      <w:pPr>
        <w:ind w:left="-540" w:right="-360"/>
        <w:rPr>
          <w:rFonts w:ascii="Arial" w:hAnsi="Arial" w:cs="Arial"/>
          <w:sz w:val="24"/>
          <w:szCs w:val="24"/>
        </w:rPr>
      </w:pPr>
      <w:r w:rsidRPr="0018429B">
        <w:rPr>
          <w:rFonts w:ascii="Arial" w:hAnsi="Arial" w:cs="Arial"/>
          <w:sz w:val="24"/>
          <w:szCs w:val="24"/>
        </w:rPr>
        <w:t>Base on this principle, the account could know what material is and what is immaterial. They also know what should be separately disclosed and what should be included with other transactions.</w:t>
      </w:r>
    </w:p>
    <w:p w:rsidR="0018429B" w:rsidRPr="00404D71" w:rsidRDefault="0018429B" w:rsidP="00404D71">
      <w:pPr>
        <w:ind w:left="-540" w:right="-360"/>
        <w:rPr>
          <w:rFonts w:ascii="Arial" w:hAnsi="Arial" w:cs="Arial"/>
          <w:spacing w:val="2"/>
          <w:sz w:val="24"/>
          <w:szCs w:val="24"/>
        </w:rPr>
      </w:pPr>
    </w:p>
    <w:p w:rsidR="00404D71" w:rsidRPr="00404D71" w:rsidRDefault="00404D71" w:rsidP="00404D71">
      <w:pPr>
        <w:ind w:left="-540" w:right="-360"/>
        <w:rPr>
          <w:rFonts w:ascii="Arial" w:hAnsi="Arial" w:cs="Arial"/>
          <w:spacing w:val="2"/>
          <w:sz w:val="24"/>
          <w:szCs w:val="24"/>
        </w:rPr>
      </w:pPr>
    </w:p>
    <w:p w:rsidR="000E7AFB" w:rsidRPr="000E7AFB" w:rsidRDefault="000E7AFB" w:rsidP="008D419B">
      <w:pPr>
        <w:ind w:left="-540" w:right="-360"/>
        <w:rPr>
          <w:rFonts w:ascii="Arial" w:eastAsia="Times New Roman" w:hAnsi="Arial" w:cs="Arial"/>
          <w:color w:val="000000" w:themeColor="text1"/>
          <w:spacing w:val="5"/>
          <w:sz w:val="24"/>
          <w:szCs w:val="24"/>
        </w:rPr>
      </w:pPr>
    </w:p>
    <w:p w:rsidR="00510E64" w:rsidRPr="00510E64" w:rsidRDefault="00510E64" w:rsidP="00510E64">
      <w:pPr>
        <w:spacing w:line="240" w:lineRule="auto"/>
        <w:ind w:left="360"/>
        <w:rPr>
          <w:rStyle w:val="IntenseEmphasis"/>
          <w:rFonts w:ascii="Arial" w:hAnsi="Arial" w:cs="Arial"/>
          <w:i w:val="0"/>
          <w:iCs w:val="0"/>
        </w:rPr>
      </w:pPr>
    </w:p>
    <w:sectPr w:rsidR="00510E64" w:rsidRPr="00510E64" w:rsidSect="00087C4C">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227"/>
    <w:rsid w:val="00080227"/>
    <w:rsid w:val="00087C4C"/>
    <w:rsid w:val="000E7AFB"/>
    <w:rsid w:val="0018429B"/>
    <w:rsid w:val="00404D71"/>
    <w:rsid w:val="004456CC"/>
    <w:rsid w:val="00510E64"/>
    <w:rsid w:val="00545235"/>
    <w:rsid w:val="00552107"/>
    <w:rsid w:val="007641D1"/>
    <w:rsid w:val="007A55FC"/>
    <w:rsid w:val="007B3BF3"/>
    <w:rsid w:val="008D419B"/>
    <w:rsid w:val="00BC0485"/>
    <w:rsid w:val="00C42457"/>
    <w:rsid w:val="00D17322"/>
    <w:rsid w:val="00E713F4"/>
    <w:rsid w:val="00EC5C00"/>
    <w:rsid w:val="00ED6E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724AA-392C-4CD5-8375-3A103AC36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0E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10E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0E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10E6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0227"/>
    <w:rPr>
      <w:color w:val="0000FF"/>
      <w:u w:val="single"/>
    </w:rPr>
  </w:style>
  <w:style w:type="character" w:styleId="Strong">
    <w:name w:val="Strong"/>
    <w:basedOn w:val="DefaultParagraphFont"/>
    <w:uiPriority w:val="22"/>
    <w:qFormat/>
    <w:rsid w:val="00080227"/>
    <w:rPr>
      <w:b/>
      <w:bCs/>
    </w:rPr>
  </w:style>
  <w:style w:type="character" w:customStyle="1" w:styleId="Heading1Char">
    <w:name w:val="Heading 1 Char"/>
    <w:basedOn w:val="DefaultParagraphFont"/>
    <w:link w:val="Heading1"/>
    <w:uiPriority w:val="9"/>
    <w:rsid w:val="00510E6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10E64"/>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510E64"/>
    <w:rPr>
      <w:i/>
      <w:iCs/>
      <w:color w:val="5B9BD5" w:themeColor="accent1"/>
    </w:rPr>
  </w:style>
  <w:style w:type="character" w:customStyle="1" w:styleId="Heading3Char">
    <w:name w:val="Heading 3 Char"/>
    <w:basedOn w:val="DefaultParagraphFont"/>
    <w:link w:val="Heading3"/>
    <w:uiPriority w:val="9"/>
    <w:rsid w:val="00510E64"/>
    <w:rPr>
      <w:rFonts w:asciiTheme="majorHAnsi" w:eastAsiaTheme="majorEastAsia" w:hAnsiTheme="majorHAnsi" w:cstheme="majorBidi"/>
      <w:color w:val="1F4D78" w:themeColor="accent1" w:themeShade="7F"/>
      <w:sz w:val="24"/>
      <w:szCs w:val="24"/>
    </w:rPr>
  </w:style>
  <w:style w:type="character" w:styleId="IntenseReference">
    <w:name w:val="Intense Reference"/>
    <w:basedOn w:val="DefaultParagraphFont"/>
    <w:uiPriority w:val="32"/>
    <w:qFormat/>
    <w:rsid w:val="00510E64"/>
    <w:rPr>
      <w:b/>
      <w:bCs/>
      <w:smallCaps/>
      <w:color w:val="5B9BD5" w:themeColor="accent1"/>
      <w:spacing w:val="5"/>
    </w:rPr>
  </w:style>
  <w:style w:type="paragraph" w:styleId="IntenseQuote">
    <w:name w:val="Intense Quote"/>
    <w:basedOn w:val="Normal"/>
    <w:next w:val="Normal"/>
    <w:link w:val="IntenseQuoteChar"/>
    <w:uiPriority w:val="30"/>
    <w:qFormat/>
    <w:rsid w:val="00510E6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10E64"/>
    <w:rPr>
      <w:i/>
      <w:iCs/>
      <w:color w:val="5B9BD5" w:themeColor="accent1"/>
    </w:rPr>
  </w:style>
  <w:style w:type="character" w:customStyle="1" w:styleId="Heading4Char">
    <w:name w:val="Heading 4 Char"/>
    <w:basedOn w:val="DefaultParagraphFont"/>
    <w:link w:val="Heading4"/>
    <w:uiPriority w:val="9"/>
    <w:rsid w:val="00510E64"/>
    <w:rPr>
      <w:rFonts w:asciiTheme="majorHAnsi" w:eastAsiaTheme="majorEastAsia" w:hAnsiTheme="majorHAnsi" w:cstheme="majorBidi"/>
      <w:i/>
      <w:iCs/>
      <w:color w:val="2E74B5" w:themeColor="accent1" w:themeShade="BF"/>
    </w:rPr>
  </w:style>
  <w:style w:type="paragraph" w:styleId="NoSpacing">
    <w:name w:val="No Spacing"/>
    <w:uiPriority w:val="1"/>
    <w:qFormat/>
    <w:rsid w:val="000E7AFB"/>
    <w:pPr>
      <w:spacing w:after="0" w:line="240" w:lineRule="auto"/>
    </w:pPr>
  </w:style>
  <w:style w:type="paragraph" w:styleId="NormalWeb">
    <w:name w:val="Normal (Web)"/>
    <w:basedOn w:val="Normal"/>
    <w:uiPriority w:val="99"/>
    <w:semiHidden/>
    <w:unhideWhenUsed/>
    <w:rsid w:val="00404D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535281">
      <w:bodyDiv w:val="1"/>
      <w:marLeft w:val="0"/>
      <w:marRight w:val="0"/>
      <w:marTop w:val="0"/>
      <w:marBottom w:val="0"/>
      <w:divBdr>
        <w:top w:val="none" w:sz="0" w:space="0" w:color="auto"/>
        <w:left w:val="none" w:sz="0" w:space="0" w:color="auto"/>
        <w:bottom w:val="none" w:sz="0" w:space="0" w:color="auto"/>
        <w:right w:val="none" w:sz="0" w:space="0" w:color="auto"/>
      </w:divBdr>
    </w:div>
    <w:div w:id="361174896">
      <w:bodyDiv w:val="1"/>
      <w:marLeft w:val="0"/>
      <w:marRight w:val="0"/>
      <w:marTop w:val="0"/>
      <w:marBottom w:val="0"/>
      <w:divBdr>
        <w:top w:val="none" w:sz="0" w:space="0" w:color="auto"/>
        <w:left w:val="none" w:sz="0" w:space="0" w:color="auto"/>
        <w:bottom w:val="none" w:sz="0" w:space="0" w:color="auto"/>
        <w:right w:val="none" w:sz="0" w:space="0" w:color="auto"/>
      </w:divBdr>
      <w:divsChild>
        <w:div w:id="100807629">
          <w:marLeft w:val="0"/>
          <w:marRight w:val="0"/>
          <w:marTop w:val="100"/>
          <w:marBottom w:val="100"/>
          <w:divBdr>
            <w:top w:val="none" w:sz="0" w:space="0" w:color="auto"/>
            <w:left w:val="none" w:sz="0" w:space="0" w:color="auto"/>
            <w:bottom w:val="none" w:sz="0" w:space="0" w:color="auto"/>
            <w:right w:val="none" w:sz="0" w:space="0" w:color="auto"/>
          </w:divBdr>
          <w:divsChild>
            <w:div w:id="352727200">
              <w:marLeft w:val="0"/>
              <w:marRight w:val="0"/>
              <w:marTop w:val="0"/>
              <w:marBottom w:val="0"/>
              <w:divBdr>
                <w:top w:val="none" w:sz="0" w:space="0" w:color="auto"/>
                <w:left w:val="none" w:sz="0" w:space="0" w:color="auto"/>
                <w:bottom w:val="none" w:sz="0" w:space="0" w:color="auto"/>
                <w:right w:val="none" w:sz="0" w:space="0" w:color="auto"/>
              </w:divBdr>
              <w:divsChild>
                <w:div w:id="755975070">
                  <w:marLeft w:val="0"/>
                  <w:marRight w:val="0"/>
                  <w:marTop w:val="0"/>
                  <w:marBottom w:val="0"/>
                  <w:divBdr>
                    <w:top w:val="none" w:sz="0" w:space="0" w:color="auto"/>
                    <w:left w:val="none" w:sz="0" w:space="0" w:color="auto"/>
                    <w:bottom w:val="none" w:sz="0" w:space="0" w:color="auto"/>
                    <w:right w:val="none" w:sz="0" w:space="0" w:color="auto"/>
                  </w:divBdr>
                  <w:divsChild>
                    <w:div w:id="787772647">
                      <w:marLeft w:val="0"/>
                      <w:marRight w:val="0"/>
                      <w:marTop w:val="0"/>
                      <w:marBottom w:val="0"/>
                      <w:divBdr>
                        <w:top w:val="none" w:sz="0" w:space="0" w:color="auto"/>
                        <w:left w:val="none" w:sz="0" w:space="0" w:color="auto"/>
                        <w:bottom w:val="none" w:sz="0" w:space="0" w:color="auto"/>
                        <w:right w:val="none" w:sz="0" w:space="0" w:color="auto"/>
                      </w:divBdr>
                      <w:divsChild>
                        <w:div w:id="145585261">
                          <w:marLeft w:val="0"/>
                          <w:marRight w:val="0"/>
                          <w:marTop w:val="0"/>
                          <w:marBottom w:val="0"/>
                          <w:divBdr>
                            <w:top w:val="none" w:sz="0" w:space="0" w:color="auto"/>
                            <w:left w:val="none" w:sz="0" w:space="0" w:color="auto"/>
                            <w:bottom w:val="none" w:sz="0" w:space="0" w:color="auto"/>
                            <w:right w:val="none" w:sz="0" w:space="0" w:color="auto"/>
                          </w:divBdr>
                          <w:divsChild>
                            <w:div w:id="1499345661">
                              <w:marLeft w:val="0"/>
                              <w:marRight w:val="0"/>
                              <w:marTop w:val="0"/>
                              <w:marBottom w:val="0"/>
                              <w:divBdr>
                                <w:top w:val="none" w:sz="0" w:space="0" w:color="auto"/>
                                <w:left w:val="none" w:sz="0" w:space="0" w:color="auto"/>
                                <w:bottom w:val="none" w:sz="0" w:space="0" w:color="auto"/>
                                <w:right w:val="none" w:sz="0" w:space="0" w:color="auto"/>
                              </w:divBdr>
                              <w:divsChild>
                                <w:div w:id="1113792156">
                                  <w:marLeft w:val="0"/>
                                  <w:marRight w:val="0"/>
                                  <w:marTop w:val="0"/>
                                  <w:marBottom w:val="0"/>
                                  <w:divBdr>
                                    <w:top w:val="none" w:sz="0" w:space="0" w:color="auto"/>
                                    <w:left w:val="none" w:sz="0" w:space="0" w:color="auto"/>
                                    <w:bottom w:val="none" w:sz="0" w:space="0" w:color="auto"/>
                                    <w:right w:val="none" w:sz="0" w:space="0" w:color="auto"/>
                                  </w:divBdr>
                                  <w:divsChild>
                                    <w:div w:id="1914968548">
                                      <w:marLeft w:val="-255"/>
                                      <w:marRight w:val="-255"/>
                                      <w:marTop w:val="0"/>
                                      <w:marBottom w:val="0"/>
                                      <w:divBdr>
                                        <w:top w:val="none" w:sz="0" w:space="0" w:color="auto"/>
                                        <w:left w:val="none" w:sz="0" w:space="0" w:color="auto"/>
                                        <w:bottom w:val="none" w:sz="0" w:space="0" w:color="auto"/>
                                        <w:right w:val="none" w:sz="0" w:space="0" w:color="auto"/>
                                      </w:divBdr>
                                      <w:divsChild>
                                        <w:div w:id="794910179">
                                          <w:marLeft w:val="0"/>
                                          <w:marRight w:val="0"/>
                                          <w:marTop w:val="0"/>
                                          <w:marBottom w:val="0"/>
                                          <w:divBdr>
                                            <w:top w:val="none" w:sz="0" w:space="0" w:color="auto"/>
                                            <w:left w:val="none" w:sz="0" w:space="0" w:color="auto"/>
                                            <w:bottom w:val="none" w:sz="0" w:space="0" w:color="auto"/>
                                            <w:right w:val="none" w:sz="0" w:space="0" w:color="auto"/>
                                          </w:divBdr>
                                          <w:divsChild>
                                            <w:div w:id="1849296721">
                                              <w:marLeft w:val="0"/>
                                              <w:marRight w:val="0"/>
                                              <w:marTop w:val="0"/>
                                              <w:marBottom w:val="0"/>
                                              <w:divBdr>
                                                <w:top w:val="none" w:sz="0" w:space="0" w:color="auto"/>
                                                <w:left w:val="none" w:sz="0" w:space="0" w:color="auto"/>
                                                <w:bottom w:val="none" w:sz="0" w:space="0" w:color="auto"/>
                                                <w:right w:val="none" w:sz="0" w:space="0" w:color="auto"/>
                                              </w:divBdr>
                                              <w:divsChild>
                                                <w:div w:id="20691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810048">
                              <w:marLeft w:val="0"/>
                              <w:marRight w:val="0"/>
                              <w:marTop w:val="0"/>
                              <w:marBottom w:val="0"/>
                              <w:divBdr>
                                <w:top w:val="none" w:sz="0" w:space="0" w:color="auto"/>
                                <w:left w:val="none" w:sz="0" w:space="0" w:color="auto"/>
                                <w:bottom w:val="none" w:sz="0" w:space="0" w:color="auto"/>
                                <w:right w:val="none" w:sz="0" w:space="0" w:color="auto"/>
                              </w:divBdr>
                              <w:divsChild>
                                <w:div w:id="628125139">
                                  <w:marLeft w:val="0"/>
                                  <w:marRight w:val="0"/>
                                  <w:marTop w:val="0"/>
                                  <w:marBottom w:val="0"/>
                                  <w:divBdr>
                                    <w:top w:val="none" w:sz="0" w:space="0" w:color="auto"/>
                                    <w:left w:val="none" w:sz="0" w:space="0" w:color="auto"/>
                                    <w:bottom w:val="none" w:sz="0" w:space="0" w:color="auto"/>
                                    <w:right w:val="none" w:sz="0" w:space="0" w:color="auto"/>
                                  </w:divBdr>
                                </w:div>
                                <w:div w:id="744454628">
                                  <w:marLeft w:val="0"/>
                                  <w:marRight w:val="0"/>
                                  <w:marTop w:val="180"/>
                                  <w:marBottom w:val="0"/>
                                  <w:divBdr>
                                    <w:top w:val="none" w:sz="0" w:space="0" w:color="auto"/>
                                    <w:left w:val="none" w:sz="0" w:space="0" w:color="auto"/>
                                    <w:bottom w:val="none" w:sz="0" w:space="0" w:color="auto"/>
                                    <w:right w:val="none" w:sz="0" w:space="0" w:color="auto"/>
                                  </w:divBdr>
                                  <w:divsChild>
                                    <w:div w:id="2109277712">
                                      <w:marLeft w:val="0"/>
                                      <w:marRight w:val="0"/>
                                      <w:marTop w:val="0"/>
                                      <w:marBottom w:val="0"/>
                                      <w:divBdr>
                                        <w:top w:val="none" w:sz="0" w:space="0" w:color="auto"/>
                                        <w:left w:val="none" w:sz="0" w:space="0" w:color="auto"/>
                                        <w:bottom w:val="none" w:sz="0" w:space="0" w:color="auto"/>
                                        <w:right w:val="none" w:sz="0" w:space="0" w:color="auto"/>
                                      </w:divBdr>
                                      <w:divsChild>
                                        <w:div w:id="1252396573">
                                          <w:marLeft w:val="0"/>
                                          <w:marRight w:val="0"/>
                                          <w:marTop w:val="0"/>
                                          <w:marBottom w:val="0"/>
                                          <w:divBdr>
                                            <w:top w:val="none" w:sz="0" w:space="0" w:color="auto"/>
                                            <w:left w:val="none" w:sz="0" w:space="0" w:color="auto"/>
                                            <w:bottom w:val="none" w:sz="0" w:space="0" w:color="auto"/>
                                            <w:right w:val="none" w:sz="0" w:space="0" w:color="auto"/>
                                          </w:divBdr>
                                          <w:divsChild>
                                            <w:div w:id="25838315">
                                              <w:marLeft w:val="0"/>
                                              <w:marRight w:val="0"/>
                                              <w:marTop w:val="0"/>
                                              <w:marBottom w:val="0"/>
                                              <w:divBdr>
                                                <w:top w:val="none" w:sz="0" w:space="0" w:color="auto"/>
                                                <w:left w:val="none" w:sz="0" w:space="0" w:color="auto"/>
                                                <w:bottom w:val="none" w:sz="0" w:space="0" w:color="auto"/>
                                                <w:right w:val="none" w:sz="0" w:space="0" w:color="auto"/>
                                              </w:divBdr>
                                              <w:divsChild>
                                                <w:div w:id="16840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1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129086">
          <w:marLeft w:val="-3510"/>
          <w:marRight w:val="0"/>
          <w:marTop w:val="0"/>
          <w:marBottom w:val="0"/>
          <w:divBdr>
            <w:top w:val="none" w:sz="0" w:space="0" w:color="auto"/>
            <w:left w:val="none" w:sz="0" w:space="0" w:color="auto"/>
            <w:bottom w:val="none" w:sz="0" w:space="0" w:color="auto"/>
            <w:right w:val="none" w:sz="0" w:space="0" w:color="auto"/>
          </w:divBdr>
          <w:divsChild>
            <w:div w:id="744109588">
              <w:marLeft w:val="0"/>
              <w:marRight w:val="0"/>
              <w:marTop w:val="0"/>
              <w:marBottom w:val="0"/>
              <w:divBdr>
                <w:top w:val="none" w:sz="0" w:space="0" w:color="auto"/>
                <w:left w:val="none" w:sz="0" w:space="0" w:color="auto"/>
                <w:bottom w:val="none" w:sz="0" w:space="0" w:color="auto"/>
                <w:right w:val="none" w:sz="0" w:space="0" w:color="auto"/>
              </w:divBdr>
              <w:divsChild>
                <w:div w:id="641235260">
                  <w:marLeft w:val="0"/>
                  <w:marRight w:val="0"/>
                  <w:marTop w:val="0"/>
                  <w:marBottom w:val="0"/>
                  <w:divBdr>
                    <w:top w:val="none" w:sz="0" w:space="0" w:color="auto"/>
                    <w:left w:val="none" w:sz="0" w:space="0" w:color="auto"/>
                    <w:bottom w:val="none" w:sz="0" w:space="0" w:color="auto"/>
                    <w:right w:val="none" w:sz="0" w:space="0" w:color="auto"/>
                  </w:divBdr>
                  <w:divsChild>
                    <w:div w:id="346106600">
                      <w:marLeft w:val="-255"/>
                      <w:marRight w:val="-255"/>
                      <w:marTop w:val="0"/>
                      <w:marBottom w:val="0"/>
                      <w:divBdr>
                        <w:top w:val="none" w:sz="0" w:space="0" w:color="auto"/>
                        <w:left w:val="none" w:sz="0" w:space="0" w:color="auto"/>
                        <w:bottom w:val="none" w:sz="0" w:space="0" w:color="auto"/>
                        <w:right w:val="none" w:sz="0" w:space="0" w:color="auto"/>
                      </w:divBdr>
                      <w:divsChild>
                        <w:div w:id="735859922">
                          <w:marLeft w:val="0"/>
                          <w:marRight w:val="0"/>
                          <w:marTop w:val="0"/>
                          <w:marBottom w:val="0"/>
                          <w:divBdr>
                            <w:top w:val="none" w:sz="0" w:space="0" w:color="auto"/>
                            <w:left w:val="none" w:sz="0" w:space="0" w:color="auto"/>
                            <w:bottom w:val="none" w:sz="0" w:space="0" w:color="auto"/>
                            <w:right w:val="none" w:sz="0" w:space="0" w:color="auto"/>
                          </w:divBdr>
                          <w:divsChild>
                            <w:div w:id="2018917052">
                              <w:marLeft w:val="0"/>
                              <w:marRight w:val="0"/>
                              <w:marTop w:val="0"/>
                              <w:marBottom w:val="0"/>
                              <w:divBdr>
                                <w:top w:val="none" w:sz="0" w:space="0" w:color="auto"/>
                                <w:left w:val="none" w:sz="0" w:space="0" w:color="auto"/>
                                <w:bottom w:val="none" w:sz="0" w:space="0" w:color="auto"/>
                                <w:right w:val="none" w:sz="0" w:space="0" w:color="auto"/>
                              </w:divBdr>
                              <w:divsChild>
                                <w:div w:id="1357852038">
                                  <w:marLeft w:val="0"/>
                                  <w:marRight w:val="0"/>
                                  <w:marTop w:val="0"/>
                                  <w:marBottom w:val="0"/>
                                  <w:divBdr>
                                    <w:top w:val="none" w:sz="0" w:space="0" w:color="auto"/>
                                    <w:left w:val="none" w:sz="0" w:space="0" w:color="auto"/>
                                    <w:bottom w:val="none" w:sz="0" w:space="0" w:color="auto"/>
                                    <w:right w:val="none" w:sz="0" w:space="0" w:color="auto"/>
                                  </w:divBdr>
                                </w:div>
                              </w:divsChild>
                            </w:div>
                            <w:div w:id="864752262">
                              <w:marLeft w:val="0"/>
                              <w:marRight w:val="0"/>
                              <w:marTop w:val="0"/>
                              <w:marBottom w:val="0"/>
                              <w:divBdr>
                                <w:top w:val="none" w:sz="0" w:space="0" w:color="auto"/>
                                <w:left w:val="none" w:sz="0" w:space="0" w:color="auto"/>
                                <w:bottom w:val="none" w:sz="0" w:space="0" w:color="auto"/>
                                <w:right w:val="none" w:sz="0" w:space="0" w:color="auto"/>
                              </w:divBdr>
                              <w:divsChild>
                                <w:div w:id="67044857">
                                  <w:marLeft w:val="0"/>
                                  <w:marRight w:val="0"/>
                                  <w:marTop w:val="0"/>
                                  <w:marBottom w:val="0"/>
                                  <w:divBdr>
                                    <w:top w:val="none" w:sz="0" w:space="0" w:color="auto"/>
                                    <w:left w:val="none" w:sz="0" w:space="0" w:color="auto"/>
                                    <w:bottom w:val="none" w:sz="0" w:space="0" w:color="auto"/>
                                    <w:right w:val="none" w:sz="0" w:space="0" w:color="auto"/>
                                  </w:divBdr>
                                  <w:divsChild>
                                    <w:div w:id="1109818323">
                                      <w:marLeft w:val="0"/>
                                      <w:marRight w:val="0"/>
                                      <w:marTop w:val="0"/>
                                      <w:marBottom w:val="0"/>
                                      <w:divBdr>
                                        <w:top w:val="none" w:sz="0" w:space="0" w:color="auto"/>
                                        <w:left w:val="none" w:sz="0" w:space="0" w:color="auto"/>
                                        <w:bottom w:val="none" w:sz="0" w:space="0" w:color="auto"/>
                                        <w:right w:val="none" w:sz="0" w:space="0" w:color="auto"/>
                                      </w:divBdr>
                                      <w:divsChild>
                                        <w:div w:id="1015764176">
                                          <w:marLeft w:val="0"/>
                                          <w:marRight w:val="0"/>
                                          <w:marTop w:val="0"/>
                                          <w:marBottom w:val="0"/>
                                          <w:divBdr>
                                            <w:top w:val="none" w:sz="0" w:space="0" w:color="auto"/>
                                            <w:left w:val="none" w:sz="0" w:space="0" w:color="auto"/>
                                            <w:bottom w:val="none" w:sz="0" w:space="0" w:color="auto"/>
                                            <w:right w:val="none" w:sz="0" w:space="0" w:color="auto"/>
                                          </w:divBdr>
                                          <w:divsChild>
                                            <w:div w:id="1996567043">
                                              <w:marLeft w:val="0"/>
                                              <w:marRight w:val="0"/>
                                              <w:marTop w:val="0"/>
                                              <w:marBottom w:val="0"/>
                                              <w:divBdr>
                                                <w:top w:val="none" w:sz="0" w:space="0" w:color="auto"/>
                                                <w:left w:val="none" w:sz="0" w:space="0" w:color="auto"/>
                                                <w:bottom w:val="none" w:sz="0" w:space="0" w:color="auto"/>
                                                <w:right w:val="none" w:sz="0" w:space="0" w:color="auto"/>
                                              </w:divBdr>
                                              <w:divsChild>
                                                <w:div w:id="124198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4654423">
      <w:bodyDiv w:val="1"/>
      <w:marLeft w:val="0"/>
      <w:marRight w:val="0"/>
      <w:marTop w:val="0"/>
      <w:marBottom w:val="0"/>
      <w:divBdr>
        <w:top w:val="none" w:sz="0" w:space="0" w:color="auto"/>
        <w:left w:val="none" w:sz="0" w:space="0" w:color="auto"/>
        <w:bottom w:val="none" w:sz="0" w:space="0" w:color="auto"/>
        <w:right w:val="none" w:sz="0" w:space="0" w:color="auto"/>
      </w:divBdr>
    </w:div>
    <w:div w:id="923296899">
      <w:bodyDiv w:val="1"/>
      <w:marLeft w:val="0"/>
      <w:marRight w:val="0"/>
      <w:marTop w:val="0"/>
      <w:marBottom w:val="0"/>
      <w:divBdr>
        <w:top w:val="none" w:sz="0" w:space="0" w:color="auto"/>
        <w:left w:val="none" w:sz="0" w:space="0" w:color="auto"/>
        <w:bottom w:val="none" w:sz="0" w:space="0" w:color="auto"/>
        <w:right w:val="none" w:sz="0" w:space="0" w:color="auto"/>
      </w:divBdr>
    </w:div>
    <w:div w:id="967978356">
      <w:bodyDiv w:val="1"/>
      <w:marLeft w:val="0"/>
      <w:marRight w:val="0"/>
      <w:marTop w:val="0"/>
      <w:marBottom w:val="0"/>
      <w:divBdr>
        <w:top w:val="none" w:sz="0" w:space="0" w:color="auto"/>
        <w:left w:val="none" w:sz="0" w:space="0" w:color="auto"/>
        <w:bottom w:val="none" w:sz="0" w:space="0" w:color="auto"/>
        <w:right w:val="none" w:sz="0" w:space="0" w:color="auto"/>
      </w:divBdr>
    </w:div>
    <w:div w:id="1179613200">
      <w:bodyDiv w:val="1"/>
      <w:marLeft w:val="0"/>
      <w:marRight w:val="0"/>
      <w:marTop w:val="0"/>
      <w:marBottom w:val="0"/>
      <w:divBdr>
        <w:top w:val="none" w:sz="0" w:space="0" w:color="auto"/>
        <w:left w:val="none" w:sz="0" w:space="0" w:color="auto"/>
        <w:bottom w:val="none" w:sz="0" w:space="0" w:color="auto"/>
        <w:right w:val="none" w:sz="0" w:space="0" w:color="auto"/>
      </w:divBdr>
    </w:div>
    <w:div w:id="1730416753">
      <w:bodyDiv w:val="1"/>
      <w:marLeft w:val="0"/>
      <w:marRight w:val="0"/>
      <w:marTop w:val="0"/>
      <w:marBottom w:val="0"/>
      <w:divBdr>
        <w:top w:val="none" w:sz="0" w:space="0" w:color="auto"/>
        <w:left w:val="none" w:sz="0" w:space="0" w:color="auto"/>
        <w:bottom w:val="none" w:sz="0" w:space="0" w:color="auto"/>
        <w:right w:val="none" w:sz="0" w:space="0" w:color="auto"/>
      </w:divBdr>
    </w:div>
    <w:div w:id="1735197619">
      <w:bodyDiv w:val="1"/>
      <w:marLeft w:val="0"/>
      <w:marRight w:val="0"/>
      <w:marTop w:val="0"/>
      <w:marBottom w:val="0"/>
      <w:divBdr>
        <w:top w:val="none" w:sz="0" w:space="0" w:color="auto"/>
        <w:left w:val="none" w:sz="0" w:space="0" w:color="auto"/>
        <w:bottom w:val="none" w:sz="0" w:space="0" w:color="auto"/>
        <w:right w:val="none" w:sz="0" w:space="0" w:color="auto"/>
      </w:divBdr>
    </w:div>
    <w:div w:id="201741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ingtools.com/articles/2017/5/16/securities-and-exchange-commission" TargetMode="External"/><Relationship Id="rId13" Type="http://schemas.openxmlformats.org/officeDocument/2006/relationships/hyperlink" Target="https://www.accountingtools.com/articles/2017/5/11/ratio" TargetMode="External"/><Relationship Id="rId18" Type="http://schemas.openxmlformats.org/officeDocument/2006/relationships/hyperlink" Target="http://www.accountingtools.com/closing-the-books-cours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accountingtools.com/articles/2017/5/15/transaction" TargetMode="External"/><Relationship Id="rId12" Type="http://schemas.openxmlformats.org/officeDocument/2006/relationships/hyperlink" Target="https://www.accountingtools.com/articles/2017/5/12/net-loss" TargetMode="External"/><Relationship Id="rId17" Type="http://schemas.openxmlformats.org/officeDocument/2006/relationships/hyperlink" Target="https://www.accountingtools.com/articles/2017/5/11/revenue" TargetMode="External"/><Relationship Id="rId2" Type="http://schemas.openxmlformats.org/officeDocument/2006/relationships/settings" Target="settings.xml"/><Relationship Id="rId16" Type="http://schemas.openxmlformats.org/officeDocument/2006/relationships/hyperlink" Target="https://www.accountingtools.com/articles/2017/5/6/expense" TargetMode="External"/><Relationship Id="rId20" Type="http://schemas.openxmlformats.org/officeDocument/2006/relationships/hyperlink" Target="https://www.accountingtools.com/articles/2017/5/7/audited-financial-statements" TargetMode="External"/><Relationship Id="rId1" Type="http://schemas.openxmlformats.org/officeDocument/2006/relationships/styles" Target="styles.xml"/><Relationship Id="rId6" Type="http://schemas.openxmlformats.org/officeDocument/2006/relationships/hyperlink" Target="https://www.accountingtools.com/articles/what-is-gaap.html" TargetMode="External"/><Relationship Id="rId11" Type="http://schemas.openxmlformats.org/officeDocument/2006/relationships/hyperlink" Target="https://www.accountingtools.com/articles/2017/5/12/net-profit" TargetMode="External"/><Relationship Id="rId5" Type="http://schemas.openxmlformats.org/officeDocument/2006/relationships/hyperlink" Target="https://www.accountingtools.com/articles/2017/5/10/financial-statements" TargetMode="External"/><Relationship Id="rId15" Type="http://schemas.openxmlformats.org/officeDocument/2006/relationships/hyperlink" Target="https://www.accountingtools.com/articles/2017/5/14/the-matching-principle" TargetMode="External"/><Relationship Id="rId10" Type="http://schemas.openxmlformats.org/officeDocument/2006/relationships/hyperlink" Target="https://www.accountingtools.com/articles/2017/5/17/the-balance-sheet" TargetMode="External"/><Relationship Id="rId19" Type="http://schemas.openxmlformats.org/officeDocument/2006/relationships/hyperlink" Target="https://www.accountingtools.com/articles/2017/5/5/auditor" TargetMode="External"/><Relationship Id="rId4" Type="http://schemas.openxmlformats.org/officeDocument/2006/relationships/hyperlink" Target="https://www.accountingtools.com/articles/2017/5/8/accounting-standard" TargetMode="External"/><Relationship Id="rId9" Type="http://schemas.openxmlformats.org/officeDocument/2006/relationships/hyperlink" Target="https://www.accountingtools.com/articles/what-is-an-asset.html" TargetMode="External"/><Relationship Id="rId14" Type="http://schemas.openxmlformats.org/officeDocument/2006/relationships/hyperlink" Target="https://www.accountingtools.com/articles/2017/5/4/covena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Safee Khan</dc:creator>
  <cp:keywords/>
  <dc:description/>
  <cp:lastModifiedBy>Safee Khan</cp:lastModifiedBy>
  <cp:revision>14</cp:revision>
  <dcterms:created xsi:type="dcterms:W3CDTF">2020-06-14T06:47:00Z</dcterms:created>
  <dcterms:modified xsi:type="dcterms:W3CDTF">2020-06-14T13:32:00Z</dcterms:modified>
</cp:coreProperties>
</file>