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7E" w:rsidRPr="00E42EF6" w:rsidRDefault="00D74F7E" w:rsidP="00D74F7E">
      <w:pPr>
        <w:spacing w:line="200" w:lineRule="exact"/>
        <w:jc w:val="center"/>
        <w:rPr>
          <w:rFonts w:ascii="Times New Roman" w:eastAsia="Times New Roman" w:hAnsi="Times New Roman"/>
          <w:b/>
          <w:sz w:val="24"/>
        </w:rPr>
      </w:pPr>
      <w:r>
        <w:rPr>
          <w:noProof/>
          <w:lang w:bidi="pa-IN"/>
        </w:rPr>
        <w:drawing>
          <wp:anchor distT="0" distB="0" distL="114300" distR="114300" simplePos="0" relativeHeight="251660288" behindDoc="1" locked="0" layoutInCell="1" allowOverlap="1">
            <wp:simplePos x="0" y="0"/>
            <wp:positionH relativeFrom="page">
              <wp:posOffset>6343650</wp:posOffset>
            </wp:positionH>
            <wp:positionV relativeFrom="page">
              <wp:posOffset>342900</wp:posOffset>
            </wp:positionV>
            <wp:extent cx="971550" cy="971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71550" cy="971550"/>
                    </a:xfrm>
                    <a:prstGeom prst="rect">
                      <a:avLst/>
                    </a:prstGeom>
                    <a:noFill/>
                  </pic:spPr>
                </pic:pic>
              </a:graphicData>
            </a:graphic>
          </wp:anchor>
        </w:drawing>
      </w:r>
      <w:r>
        <w:rPr>
          <w:rFonts w:ascii="Times New Roman" w:eastAsia="Times New Roman" w:hAnsi="Times New Roman"/>
          <w:b/>
          <w:sz w:val="24"/>
        </w:rPr>
        <w:t>Iqra National University</w:t>
      </w:r>
    </w:p>
    <w:tbl>
      <w:tblPr>
        <w:tblpPr w:leftFromText="180" w:rightFromText="180" w:vertAnchor="text" w:horzAnchor="margin" w:tblpY="1111"/>
        <w:tblW w:w="9876" w:type="dxa"/>
        <w:tblLayout w:type="fixed"/>
        <w:tblCellMar>
          <w:left w:w="0" w:type="dxa"/>
          <w:right w:w="0" w:type="dxa"/>
        </w:tblCellMar>
        <w:tblLook w:val="0000"/>
      </w:tblPr>
      <w:tblGrid>
        <w:gridCol w:w="1680"/>
        <w:gridCol w:w="3213"/>
        <w:gridCol w:w="91"/>
        <w:gridCol w:w="1679"/>
        <w:gridCol w:w="3213"/>
      </w:tblGrid>
      <w:tr w:rsidR="00D74F7E" w:rsidTr="00DC59B7">
        <w:trPr>
          <w:trHeight w:val="114"/>
        </w:trPr>
        <w:tc>
          <w:tcPr>
            <w:tcW w:w="1675" w:type="dxa"/>
            <w:shd w:val="clear" w:color="auto" w:fill="auto"/>
            <w:vAlign w:val="bottom"/>
          </w:tcPr>
          <w:p w:rsidR="00D74F7E" w:rsidRDefault="00D74F7E" w:rsidP="00DC59B7">
            <w:pPr>
              <w:spacing w:line="0" w:lineRule="atLeast"/>
              <w:rPr>
                <w:rFonts w:ascii="Times New Roman" w:eastAsia="Times New Roman" w:hAnsi="Times New Roman"/>
                <w:b/>
                <w:sz w:val="24"/>
              </w:rPr>
            </w:pPr>
            <w:r>
              <w:rPr>
                <w:rFonts w:ascii="Times New Roman" w:eastAsia="Times New Roman" w:hAnsi="Times New Roman"/>
                <w:b/>
                <w:sz w:val="24"/>
              </w:rPr>
              <w:t xml:space="preserve">Course Title: </w:t>
            </w:r>
          </w:p>
        </w:tc>
        <w:tc>
          <w:tcPr>
            <w:tcW w:w="3306" w:type="dxa"/>
            <w:gridSpan w:val="2"/>
            <w:shd w:val="clear" w:color="auto" w:fill="auto"/>
            <w:vAlign w:val="bottom"/>
          </w:tcPr>
          <w:p w:rsidR="00D74F7E" w:rsidRPr="000E14F5" w:rsidRDefault="00D74F7E" w:rsidP="00DC59B7">
            <w:pPr>
              <w:spacing w:line="0" w:lineRule="atLeast"/>
              <w:ind w:left="140"/>
              <w:rPr>
                <w:rFonts w:ascii="Times New Roman" w:eastAsia="Times New Roman" w:hAnsi="Times New Roman"/>
                <w:b/>
              </w:rPr>
            </w:pPr>
            <w:r>
              <w:rPr>
                <w:rFonts w:ascii="Times New Roman" w:eastAsia="Times New Roman" w:hAnsi="Times New Roman"/>
                <w:b/>
              </w:rPr>
              <w:t>Introduction to</w:t>
            </w:r>
            <w:r w:rsidRPr="000E14F5">
              <w:rPr>
                <w:rFonts w:ascii="Times New Roman" w:eastAsia="Times New Roman" w:hAnsi="Times New Roman"/>
                <w:b/>
              </w:rPr>
              <w:t xml:space="preserve"> Financial Accounting</w:t>
            </w:r>
          </w:p>
        </w:tc>
        <w:tc>
          <w:tcPr>
            <w:tcW w:w="1680" w:type="dxa"/>
            <w:shd w:val="clear" w:color="auto" w:fill="auto"/>
            <w:vAlign w:val="bottom"/>
          </w:tcPr>
          <w:p w:rsidR="00D74F7E" w:rsidRDefault="00D74F7E" w:rsidP="00DC59B7">
            <w:pPr>
              <w:spacing w:line="0" w:lineRule="atLeast"/>
              <w:rPr>
                <w:rFonts w:ascii="Times New Roman" w:eastAsia="Times New Roman" w:hAnsi="Times New Roman"/>
                <w:b/>
                <w:sz w:val="24"/>
              </w:rPr>
            </w:pPr>
            <w:r>
              <w:rPr>
                <w:rFonts w:ascii="Times New Roman" w:eastAsia="Times New Roman" w:hAnsi="Times New Roman"/>
                <w:b/>
                <w:sz w:val="24"/>
              </w:rPr>
              <w:t>Instructor:</w:t>
            </w:r>
          </w:p>
        </w:tc>
        <w:tc>
          <w:tcPr>
            <w:tcW w:w="3215" w:type="dxa"/>
            <w:shd w:val="clear" w:color="auto" w:fill="auto"/>
            <w:vAlign w:val="bottom"/>
          </w:tcPr>
          <w:p w:rsidR="00D74F7E" w:rsidRDefault="00D74F7E" w:rsidP="00DC59B7">
            <w:pPr>
              <w:spacing w:line="0" w:lineRule="atLeast"/>
              <w:rPr>
                <w:rFonts w:ascii="Times New Roman" w:eastAsia="Times New Roman" w:hAnsi="Times New Roman"/>
                <w:b/>
                <w:w w:val="99"/>
                <w:sz w:val="24"/>
              </w:rPr>
            </w:pPr>
            <w:r>
              <w:rPr>
                <w:rFonts w:ascii="Times New Roman" w:eastAsia="Times New Roman" w:hAnsi="Times New Roman"/>
                <w:b/>
                <w:w w:val="99"/>
                <w:sz w:val="24"/>
              </w:rPr>
              <w:t xml:space="preserve">Mr. </w:t>
            </w:r>
            <w:proofErr w:type="spellStart"/>
            <w:r>
              <w:rPr>
                <w:rFonts w:ascii="Times New Roman" w:eastAsia="Times New Roman" w:hAnsi="Times New Roman"/>
                <w:b/>
                <w:w w:val="99"/>
                <w:sz w:val="24"/>
              </w:rPr>
              <w:t>Naveed</w:t>
            </w:r>
            <w:proofErr w:type="spellEnd"/>
            <w:r>
              <w:rPr>
                <w:rFonts w:ascii="Times New Roman" w:eastAsia="Times New Roman" w:hAnsi="Times New Roman"/>
                <w:b/>
                <w:w w:val="99"/>
                <w:sz w:val="24"/>
              </w:rPr>
              <w:t xml:space="preserve"> </w:t>
            </w:r>
            <w:proofErr w:type="spellStart"/>
            <w:r>
              <w:rPr>
                <w:rFonts w:ascii="Times New Roman" w:eastAsia="Times New Roman" w:hAnsi="Times New Roman"/>
                <w:b/>
                <w:w w:val="99"/>
                <w:sz w:val="24"/>
              </w:rPr>
              <w:t>Azeem</w:t>
            </w:r>
            <w:proofErr w:type="spellEnd"/>
            <w:r>
              <w:rPr>
                <w:rFonts w:ascii="Times New Roman" w:eastAsia="Times New Roman" w:hAnsi="Times New Roman"/>
                <w:b/>
                <w:w w:val="99"/>
                <w:sz w:val="24"/>
              </w:rPr>
              <w:t xml:space="preserve"> </w:t>
            </w:r>
            <w:proofErr w:type="spellStart"/>
            <w:r>
              <w:rPr>
                <w:rFonts w:ascii="Times New Roman" w:eastAsia="Times New Roman" w:hAnsi="Times New Roman"/>
                <w:b/>
                <w:w w:val="99"/>
                <w:sz w:val="24"/>
              </w:rPr>
              <w:t>Khattak</w:t>
            </w:r>
            <w:proofErr w:type="spellEnd"/>
          </w:p>
        </w:tc>
      </w:tr>
      <w:tr w:rsidR="000543E3" w:rsidTr="00DC59B7">
        <w:trPr>
          <w:gridAfter w:val="3"/>
          <w:wAfter w:w="4981" w:type="dxa"/>
          <w:trHeight w:val="171"/>
        </w:trPr>
        <w:tc>
          <w:tcPr>
            <w:tcW w:w="1680" w:type="dxa"/>
            <w:shd w:val="clear" w:color="auto" w:fill="auto"/>
            <w:vAlign w:val="bottom"/>
          </w:tcPr>
          <w:p w:rsidR="000543E3" w:rsidRDefault="000543E3" w:rsidP="00DC59B7">
            <w:pPr>
              <w:spacing w:line="0" w:lineRule="atLeast"/>
              <w:rPr>
                <w:rFonts w:ascii="Times New Roman" w:eastAsia="Times New Roman" w:hAnsi="Times New Roman"/>
                <w:b/>
                <w:sz w:val="24"/>
              </w:rPr>
            </w:pPr>
          </w:p>
        </w:tc>
        <w:tc>
          <w:tcPr>
            <w:tcW w:w="3215" w:type="dxa"/>
            <w:shd w:val="clear" w:color="auto" w:fill="auto"/>
            <w:vAlign w:val="bottom"/>
          </w:tcPr>
          <w:p w:rsidR="000543E3" w:rsidRDefault="000543E3" w:rsidP="00DC59B7">
            <w:pPr>
              <w:spacing w:line="0" w:lineRule="atLeast"/>
              <w:ind w:left="100"/>
              <w:rPr>
                <w:rFonts w:ascii="Times New Roman" w:eastAsia="Times New Roman" w:hAnsi="Times New Roman"/>
                <w:b/>
                <w:sz w:val="24"/>
              </w:rPr>
            </w:pPr>
          </w:p>
        </w:tc>
      </w:tr>
      <w:tr w:rsidR="00D74F7E" w:rsidTr="00DC59B7">
        <w:trPr>
          <w:trHeight w:val="172"/>
        </w:trPr>
        <w:tc>
          <w:tcPr>
            <w:tcW w:w="1675" w:type="dxa"/>
            <w:shd w:val="clear" w:color="auto" w:fill="auto"/>
            <w:vAlign w:val="bottom"/>
          </w:tcPr>
          <w:p w:rsidR="00D74F7E" w:rsidRDefault="000543E3" w:rsidP="00DC59B7">
            <w:pPr>
              <w:spacing w:line="0" w:lineRule="atLeast"/>
              <w:rPr>
                <w:rFonts w:ascii="Times New Roman" w:eastAsia="Times New Roman" w:hAnsi="Times New Roman"/>
                <w:b/>
                <w:sz w:val="24"/>
              </w:rPr>
            </w:pPr>
            <w:r>
              <w:rPr>
                <w:rFonts w:ascii="Times New Roman" w:eastAsia="Times New Roman" w:hAnsi="Times New Roman"/>
                <w:b/>
                <w:sz w:val="24"/>
              </w:rPr>
              <w:t>Name :</w:t>
            </w:r>
          </w:p>
        </w:tc>
        <w:tc>
          <w:tcPr>
            <w:tcW w:w="3306" w:type="dxa"/>
            <w:gridSpan w:val="2"/>
            <w:shd w:val="clear" w:color="auto" w:fill="auto"/>
            <w:vAlign w:val="bottom"/>
          </w:tcPr>
          <w:p w:rsidR="00D74F7E" w:rsidRDefault="000543E3" w:rsidP="00DC59B7">
            <w:pPr>
              <w:spacing w:line="0" w:lineRule="atLeast"/>
              <w:ind w:left="140"/>
              <w:rPr>
                <w:rFonts w:ascii="Times New Roman" w:eastAsia="Times New Roman" w:hAnsi="Times New Roman"/>
                <w:b/>
                <w:sz w:val="24"/>
              </w:rPr>
            </w:pPr>
            <w:proofErr w:type="spellStart"/>
            <w:r>
              <w:rPr>
                <w:rFonts w:ascii="Times New Roman" w:eastAsia="Times New Roman" w:hAnsi="Times New Roman"/>
                <w:b/>
                <w:sz w:val="24"/>
              </w:rPr>
              <w:t>Ijaz</w:t>
            </w:r>
            <w:proofErr w:type="spellEnd"/>
            <w:r>
              <w:rPr>
                <w:rFonts w:ascii="Times New Roman" w:eastAsia="Times New Roman" w:hAnsi="Times New Roman"/>
                <w:b/>
                <w:sz w:val="24"/>
              </w:rPr>
              <w:t xml:space="preserve"> khan (16710)</w:t>
            </w:r>
          </w:p>
        </w:tc>
        <w:tc>
          <w:tcPr>
            <w:tcW w:w="1680" w:type="dxa"/>
            <w:shd w:val="clear" w:color="auto" w:fill="auto"/>
            <w:vAlign w:val="bottom"/>
          </w:tcPr>
          <w:p w:rsidR="00D74F7E" w:rsidRPr="000543E3" w:rsidRDefault="000543E3" w:rsidP="00DC59B7">
            <w:pPr>
              <w:spacing w:line="0" w:lineRule="atLeast"/>
              <w:rPr>
                <w:rFonts w:ascii="Times New Roman" w:eastAsia="Times New Roman" w:hAnsi="Times New Roman"/>
                <w:b/>
                <w:bCs/>
                <w:sz w:val="24"/>
              </w:rPr>
            </w:pPr>
            <w:r>
              <w:rPr>
                <w:rFonts w:ascii="Times New Roman" w:eastAsia="Times New Roman" w:hAnsi="Times New Roman"/>
                <w:b/>
                <w:bCs/>
                <w:sz w:val="24"/>
              </w:rPr>
              <w:t>MBA (1.5)</w:t>
            </w:r>
          </w:p>
        </w:tc>
        <w:tc>
          <w:tcPr>
            <w:tcW w:w="3215" w:type="dxa"/>
            <w:shd w:val="clear" w:color="auto" w:fill="auto"/>
            <w:vAlign w:val="bottom"/>
          </w:tcPr>
          <w:p w:rsidR="00D74F7E" w:rsidRDefault="00D74F7E" w:rsidP="00DC59B7">
            <w:pPr>
              <w:spacing w:line="0" w:lineRule="atLeast"/>
              <w:rPr>
                <w:rFonts w:ascii="Times New Roman" w:eastAsia="Times New Roman" w:hAnsi="Times New Roman"/>
                <w:sz w:val="24"/>
              </w:rPr>
            </w:pPr>
          </w:p>
        </w:tc>
      </w:tr>
    </w:tbl>
    <w:p w:rsidR="00D74F7E" w:rsidRPr="004C0AF4" w:rsidRDefault="00D74F7E" w:rsidP="00D74F7E">
      <w:pPr>
        <w:spacing w:line="348" w:lineRule="auto"/>
        <w:ind w:left="-540" w:right="1040"/>
        <w:jc w:val="center"/>
        <w:rPr>
          <w:rFonts w:ascii="Times New Roman" w:eastAsia="Times New Roman" w:hAnsi="Times New Roman"/>
          <w:b/>
          <w:sz w:val="24"/>
          <w:u w:val="single"/>
        </w:rPr>
      </w:pPr>
      <w:r w:rsidRPr="004C0AF4">
        <w:rPr>
          <w:rFonts w:ascii="Times New Roman" w:eastAsia="Times New Roman" w:hAnsi="Times New Roman"/>
          <w:b/>
          <w:sz w:val="24"/>
          <w:u w:val="single"/>
        </w:rPr>
        <w:t>School of Management and Social Sciences (Dept. of Business administration)</w:t>
      </w:r>
      <w:r w:rsidRPr="004C0AF4">
        <w:rPr>
          <w:rFonts w:ascii="Times New Roman" w:eastAsia="Times New Roman" w:hAnsi="Times New Roman"/>
          <w:sz w:val="24"/>
          <w:u w:val="single"/>
        </w:rPr>
        <w:t>.</w:t>
      </w:r>
      <w:r w:rsidRPr="004C0AF4">
        <w:rPr>
          <w:rFonts w:ascii="Times New Roman" w:eastAsia="Times New Roman" w:hAnsi="Times New Roman"/>
          <w:b/>
          <w:sz w:val="24"/>
          <w:u w:val="single"/>
        </w:rPr>
        <w:t xml:space="preserve"> </w:t>
      </w:r>
    </w:p>
    <w:p w:rsidR="00D74F7E" w:rsidRDefault="00D74F7E" w:rsidP="00D74F7E">
      <w:pPr>
        <w:spacing w:line="348" w:lineRule="auto"/>
        <w:ind w:left="-540" w:right="1040"/>
        <w:jc w:val="center"/>
        <w:rPr>
          <w:rFonts w:ascii="Times New Roman" w:eastAsia="Times New Roman" w:hAnsi="Times New Roman"/>
          <w:b/>
          <w:sz w:val="24"/>
        </w:rPr>
      </w:pPr>
      <w:r>
        <w:rPr>
          <w:rFonts w:ascii="Times New Roman" w:eastAsia="Times New Roman" w:hAnsi="Times New Roman"/>
          <w:b/>
          <w:sz w:val="24"/>
        </w:rPr>
        <w:t xml:space="preserve">                            </w:t>
      </w:r>
    </w:p>
    <w:p w:rsidR="00D74F7E" w:rsidRDefault="00D74F7E" w:rsidP="00D74F7E">
      <w:pPr>
        <w:spacing w:line="200" w:lineRule="exact"/>
        <w:rPr>
          <w:rFonts w:ascii="Times New Roman" w:eastAsia="Times New Roman" w:hAnsi="Times New Roman"/>
          <w:sz w:val="24"/>
        </w:rPr>
      </w:pPr>
    </w:p>
    <w:p w:rsidR="006158A0" w:rsidRDefault="006158A0">
      <w:pPr>
        <w:rPr>
          <w:rFonts w:cstheme="minorBidi"/>
          <w:lang w:bidi="pa-IN"/>
        </w:rPr>
      </w:pPr>
    </w:p>
    <w:p w:rsidR="00D74F7E" w:rsidRDefault="00D74F7E">
      <w:pPr>
        <w:rPr>
          <w:rFonts w:cstheme="minorBidi"/>
          <w:lang w:bidi="pa-IN"/>
        </w:rPr>
      </w:pPr>
    </w:p>
    <w:p w:rsidR="000543E3" w:rsidRDefault="000543E3">
      <w:pPr>
        <w:rPr>
          <w:rFonts w:cstheme="minorBidi"/>
          <w:lang w:bidi="pa-IN"/>
        </w:rPr>
      </w:pPr>
    </w:p>
    <w:p w:rsidR="000543E3" w:rsidRPr="000543E3" w:rsidRDefault="000543E3">
      <w:pPr>
        <w:rPr>
          <w:rFonts w:cstheme="minorBidi"/>
          <w:b/>
          <w:bCs/>
          <w:sz w:val="40"/>
          <w:szCs w:val="40"/>
          <w:u w:val="single"/>
          <w:lang w:bidi="pa-IN"/>
        </w:rPr>
      </w:pPr>
      <w:r w:rsidRPr="000543E3">
        <w:rPr>
          <w:rFonts w:cstheme="minorBidi"/>
          <w:b/>
          <w:bCs/>
          <w:sz w:val="40"/>
          <w:szCs w:val="40"/>
          <w:u w:val="single"/>
          <w:lang w:bidi="pa-IN"/>
        </w:rPr>
        <w:t>Ans 1:</w:t>
      </w:r>
    </w:p>
    <w:p w:rsidR="000543E3" w:rsidRDefault="000543E3" w:rsidP="00C5758A">
      <w:pPr>
        <w:shd w:val="clear" w:color="auto" w:fill="FFFFFF"/>
        <w:spacing w:line="360" w:lineRule="atLeast"/>
        <w:outlineLvl w:val="0"/>
        <w:rPr>
          <w:u w:val="single"/>
        </w:rPr>
      </w:pPr>
    </w:p>
    <w:p w:rsidR="00C5758A" w:rsidRPr="000543E3" w:rsidRDefault="00333BC1" w:rsidP="00C5758A">
      <w:pPr>
        <w:shd w:val="clear" w:color="auto" w:fill="FFFFFF"/>
        <w:spacing w:line="360" w:lineRule="atLeast"/>
        <w:outlineLvl w:val="0"/>
        <w:rPr>
          <w:rFonts w:ascii="proxima-nova" w:eastAsia="Times New Roman" w:hAnsi="proxima-nova" w:cs="Times New Roman"/>
          <w:color w:val="222222"/>
          <w:kern w:val="36"/>
          <w:sz w:val="54"/>
          <w:szCs w:val="54"/>
          <w:u w:val="single"/>
          <w:lang w:bidi="pa-IN"/>
        </w:rPr>
      </w:pPr>
      <w:hyperlink r:id="rId6" w:history="1">
        <w:r w:rsidR="00C5758A" w:rsidRPr="000543E3">
          <w:rPr>
            <w:rFonts w:ascii="proxima-nova" w:eastAsia="Times New Roman" w:hAnsi="proxima-nova" w:cs="Times New Roman"/>
            <w:color w:val="0D6ECE"/>
            <w:kern w:val="36"/>
            <w:sz w:val="54"/>
            <w:u w:val="single"/>
            <w:lang w:bidi="pa-IN"/>
          </w:rPr>
          <w:t>Bad debt definition</w:t>
        </w:r>
      </w:hyperlink>
    </w:p>
    <w:p w:rsidR="00C5758A" w:rsidRDefault="00C5758A">
      <w:pPr>
        <w:rPr>
          <w:rFonts w:ascii="proxima-nova" w:hAnsi="proxima-nova"/>
          <w:color w:val="444444"/>
          <w:spacing w:val="5"/>
          <w:sz w:val="23"/>
          <w:szCs w:val="23"/>
          <w:shd w:val="clear" w:color="auto" w:fill="FFFFFF"/>
        </w:rPr>
      </w:pPr>
      <w:r>
        <w:rPr>
          <w:rFonts w:ascii="proxima-nova" w:hAnsi="proxima-nova"/>
          <w:color w:val="444444"/>
          <w:spacing w:val="5"/>
          <w:sz w:val="23"/>
          <w:szCs w:val="23"/>
          <w:shd w:val="clear" w:color="auto" w:fill="FFFFFF"/>
        </w:rPr>
        <w:t xml:space="preserve">A bad debt is a </w:t>
      </w:r>
      <w:hyperlink r:id="rId7" w:history="1">
        <w:r>
          <w:rPr>
            <w:rStyle w:val="Hyperlink"/>
            <w:rFonts w:ascii="proxima-nova" w:hAnsi="proxima-nova"/>
            <w:color w:val="0D6ECE"/>
            <w:spacing w:val="5"/>
            <w:sz w:val="23"/>
            <w:szCs w:val="23"/>
            <w:shd w:val="clear" w:color="auto" w:fill="FFFFFF"/>
          </w:rPr>
          <w:t>receivable</w:t>
        </w:r>
      </w:hyperlink>
      <w:r>
        <w:rPr>
          <w:rFonts w:ascii="proxima-nova" w:hAnsi="proxima-nova"/>
          <w:color w:val="444444"/>
          <w:spacing w:val="5"/>
          <w:sz w:val="23"/>
          <w:szCs w:val="23"/>
          <w:shd w:val="clear" w:color="auto" w:fill="FFFFFF"/>
        </w:rPr>
        <w:t xml:space="preserve"> that a </w:t>
      </w:r>
      <w:hyperlink r:id="rId8" w:history="1">
        <w:r>
          <w:rPr>
            <w:rStyle w:val="Hyperlink"/>
            <w:rFonts w:ascii="proxima-nova" w:hAnsi="proxima-nova"/>
            <w:color w:val="0D6ECE"/>
            <w:spacing w:val="5"/>
            <w:sz w:val="23"/>
            <w:szCs w:val="23"/>
            <w:shd w:val="clear" w:color="auto" w:fill="FFFFFF"/>
          </w:rPr>
          <w:t>customer</w:t>
        </w:r>
      </w:hyperlink>
      <w:r>
        <w:rPr>
          <w:rFonts w:ascii="proxima-nova" w:hAnsi="proxima-nova"/>
          <w:color w:val="444444"/>
          <w:spacing w:val="5"/>
          <w:sz w:val="23"/>
          <w:szCs w:val="23"/>
          <w:shd w:val="clear" w:color="auto" w:fill="FFFFFF"/>
        </w:rPr>
        <w:t xml:space="preserve"> will not pay. Bad debts are possible whenever </w:t>
      </w:r>
      <w:hyperlink r:id="rId9" w:history="1">
        <w:r>
          <w:rPr>
            <w:rStyle w:val="Hyperlink"/>
            <w:rFonts w:ascii="proxima-nova" w:hAnsi="proxima-nova"/>
            <w:color w:val="0D6ECE"/>
            <w:spacing w:val="5"/>
            <w:sz w:val="23"/>
            <w:szCs w:val="23"/>
            <w:shd w:val="clear" w:color="auto" w:fill="FFFFFF"/>
          </w:rPr>
          <w:t>credit</w:t>
        </w:r>
      </w:hyperlink>
      <w:r>
        <w:rPr>
          <w:rFonts w:ascii="proxima-nova" w:hAnsi="proxima-nova"/>
          <w:color w:val="444444"/>
          <w:spacing w:val="5"/>
          <w:sz w:val="23"/>
          <w:szCs w:val="23"/>
          <w:shd w:val="clear" w:color="auto" w:fill="FFFFFF"/>
        </w:rPr>
        <w:t xml:space="preserve"> is extended to customers. They arise under the following circumstances:</w:t>
      </w:r>
    </w:p>
    <w:p w:rsidR="00C5758A" w:rsidRDefault="00C5758A">
      <w:pPr>
        <w:rPr>
          <w:rFonts w:ascii="proxima-nova" w:hAnsi="proxima-nova"/>
          <w:color w:val="444444"/>
          <w:spacing w:val="5"/>
          <w:sz w:val="23"/>
          <w:szCs w:val="23"/>
          <w:shd w:val="clear" w:color="auto" w:fill="FFFFFF"/>
        </w:rPr>
      </w:pPr>
    </w:p>
    <w:p w:rsidR="00C5758A" w:rsidRPr="00C5758A" w:rsidRDefault="00C5758A" w:rsidP="00C5758A">
      <w:pPr>
        <w:pStyle w:val="ListParagraph"/>
        <w:numPr>
          <w:ilvl w:val="0"/>
          <w:numId w:val="1"/>
        </w:numPr>
        <w:rPr>
          <w:rFonts w:cstheme="minorBidi"/>
          <w:lang w:bidi="pa-IN"/>
        </w:rPr>
      </w:pPr>
      <w:r>
        <w:rPr>
          <w:rFonts w:ascii="proxima-nova" w:hAnsi="proxima-nova"/>
          <w:color w:val="444444"/>
          <w:spacing w:val="5"/>
          <w:sz w:val="23"/>
          <w:szCs w:val="23"/>
          <w:shd w:val="clear" w:color="auto" w:fill="FFFFFF"/>
        </w:rPr>
        <w:t xml:space="preserve">When a company extends too much </w:t>
      </w:r>
      <w:hyperlink r:id="rId10" w:history="1">
        <w:r>
          <w:rPr>
            <w:rStyle w:val="Hyperlink"/>
            <w:rFonts w:ascii="proxima-nova" w:hAnsi="proxima-nova"/>
            <w:color w:val="0D6ECE"/>
            <w:spacing w:val="5"/>
            <w:sz w:val="23"/>
            <w:szCs w:val="23"/>
            <w:shd w:val="clear" w:color="auto" w:fill="FFFFFF"/>
          </w:rPr>
          <w:t>credit</w:t>
        </w:r>
      </w:hyperlink>
      <w:r>
        <w:rPr>
          <w:rFonts w:ascii="proxima-nova" w:hAnsi="proxima-nova"/>
          <w:color w:val="444444"/>
          <w:spacing w:val="5"/>
          <w:sz w:val="23"/>
          <w:szCs w:val="23"/>
          <w:shd w:val="clear" w:color="auto" w:fill="FFFFFF"/>
        </w:rPr>
        <w:t xml:space="preserve"> to a customer that is incapable of paying back the </w:t>
      </w:r>
      <w:hyperlink r:id="rId11" w:history="1">
        <w:r>
          <w:rPr>
            <w:rStyle w:val="Hyperlink"/>
            <w:rFonts w:ascii="proxima-nova" w:hAnsi="proxima-nova"/>
            <w:color w:val="0D6ECE"/>
            <w:spacing w:val="5"/>
            <w:sz w:val="23"/>
            <w:szCs w:val="23"/>
            <w:shd w:val="clear" w:color="auto" w:fill="FFFFFF"/>
          </w:rPr>
          <w:t>debt</w:t>
        </w:r>
      </w:hyperlink>
      <w:r>
        <w:rPr>
          <w:rFonts w:ascii="proxima-nova" w:hAnsi="proxima-nova"/>
          <w:color w:val="444444"/>
          <w:spacing w:val="5"/>
          <w:sz w:val="23"/>
          <w:szCs w:val="23"/>
          <w:shd w:val="clear" w:color="auto" w:fill="FFFFFF"/>
        </w:rPr>
        <w:t>, resulting in either a delayed, reduced, or missing payment.</w:t>
      </w:r>
    </w:p>
    <w:p w:rsidR="00C5758A" w:rsidRDefault="00C5758A" w:rsidP="00C5758A">
      <w:pPr>
        <w:numPr>
          <w:ilvl w:val="0"/>
          <w:numId w:val="1"/>
        </w:numPr>
        <w:shd w:val="clear" w:color="auto" w:fill="FFFFFF"/>
        <w:spacing w:before="120" w:after="120" w:line="384" w:lineRule="atLeast"/>
        <w:rPr>
          <w:rFonts w:ascii="proxima-nova" w:eastAsia="Times New Roman" w:hAnsi="proxima-nova" w:cs="Times New Roman"/>
          <w:color w:val="444444"/>
          <w:spacing w:val="5"/>
          <w:sz w:val="23"/>
          <w:szCs w:val="23"/>
          <w:lang w:bidi="pa-IN"/>
        </w:rPr>
      </w:pPr>
      <w:r w:rsidRPr="00C5758A">
        <w:rPr>
          <w:rFonts w:ascii="proxima-nova" w:eastAsia="Times New Roman" w:hAnsi="proxima-nova" w:cs="Times New Roman"/>
          <w:color w:val="444444"/>
          <w:spacing w:val="5"/>
          <w:sz w:val="23"/>
          <w:szCs w:val="23"/>
          <w:lang w:bidi="pa-IN"/>
        </w:rPr>
        <w:t>When a customer misrepresents itself in obtaining a sale on credit, and has no intent of ever paying the seller.</w:t>
      </w:r>
    </w:p>
    <w:p w:rsidR="00C5758A" w:rsidRDefault="00C5758A" w:rsidP="00C5758A">
      <w:pPr>
        <w:shd w:val="clear" w:color="auto" w:fill="FFFFFF"/>
        <w:spacing w:before="120" w:after="120" w:line="384" w:lineRule="atLeast"/>
        <w:rPr>
          <w:rFonts w:ascii="proxima-nova" w:hAnsi="proxima-nova"/>
          <w:color w:val="444444"/>
          <w:spacing w:val="5"/>
          <w:sz w:val="23"/>
          <w:szCs w:val="23"/>
          <w:shd w:val="clear" w:color="auto" w:fill="FFFFFF"/>
        </w:rPr>
      </w:pPr>
      <w:r>
        <w:rPr>
          <w:rFonts w:ascii="proxima-nova" w:hAnsi="proxima-nova"/>
          <w:color w:val="444444"/>
          <w:spacing w:val="5"/>
          <w:sz w:val="23"/>
          <w:szCs w:val="23"/>
          <w:shd w:val="clear" w:color="auto" w:fill="FFFFFF"/>
        </w:rPr>
        <w:t xml:space="preserve">The first situation is caused by bad internal processes or changes in the ability of a customer to pay. The second situation is caused by a customer intentionally engaging in </w:t>
      </w:r>
      <w:hyperlink r:id="rId12" w:history="1">
        <w:r>
          <w:rPr>
            <w:rStyle w:val="Hyperlink"/>
            <w:rFonts w:ascii="proxima-nova" w:hAnsi="proxima-nova"/>
            <w:color w:val="0D6ECE"/>
            <w:spacing w:val="5"/>
            <w:sz w:val="23"/>
            <w:szCs w:val="23"/>
            <w:shd w:val="clear" w:color="auto" w:fill="FFFFFF"/>
          </w:rPr>
          <w:t>fraud</w:t>
        </w:r>
      </w:hyperlink>
      <w:r>
        <w:rPr>
          <w:rFonts w:ascii="proxima-nova" w:hAnsi="proxima-nova"/>
          <w:color w:val="444444"/>
          <w:spacing w:val="5"/>
          <w:sz w:val="23"/>
          <w:szCs w:val="23"/>
          <w:shd w:val="clear" w:color="auto" w:fill="FFFFFF"/>
        </w:rPr>
        <w:t>.</w:t>
      </w:r>
    </w:p>
    <w:p w:rsidR="00C5758A" w:rsidRDefault="00C5758A" w:rsidP="00C5758A">
      <w:pPr>
        <w:shd w:val="clear" w:color="auto" w:fill="FFFFFF"/>
        <w:spacing w:before="120" w:after="120" w:line="384" w:lineRule="atLeast"/>
        <w:rPr>
          <w:rFonts w:ascii="proxima-nova" w:hAnsi="proxima-nova"/>
          <w:color w:val="444444"/>
          <w:spacing w:val="5"/>
          <w:sz w:val="23"/>
          <w:szCs w:val="23"/>
          <w:shd w:val="clear" w:color="auto" w:fill="FFFFFF"/>
        </w:rPr>
      </w:pPr>
    </w:p>
    <w:p w:rsidR="00C5758A" w:rsidRDefault="00C5758A" w:rsidP="00C5758A">
      <w:pPr>
        <w:shd w:val="clear" w:color="auto" w:fill="FFFFFF"/>
        <w:spacing w:before="120" w:after="120" w:line="384" w:lineRule="atLeast"/>
        <w:rPr>
          <w:rFonts w:ascii="proxima-nova" w:hAnsi="proxima-nova"/>
          <w:color w:val="444444"/>
          <w:spacing w:val="5"/>
          <w:sz w:val="23"/>
          <w:szCs w:val="23"/>
          <w:shd w:val="clear" w:color="auto" w:fill="FFFFFF"/>
        </w:rPr>
      </w:pPr>
      <w:r>
        <w:rPr>
          <w:rFonts w:ascii="proxima-nova" w:hAnsi="proxima-nova"/>
          <w:color w:val="444444"/>
          <w:spacing w:val="5"/>
          <w:sz w:val="23"/>
          <w:szCs w:val="23"/>
          <w:shd w:val="clear" w:color="auto" w:fill="FFFFFF"/>
        </w:rPr>
        <w:t>There are two ways to record a bad debt, which are:</w:t>
      </w:r>
    </w:p>
    <w:p w:rsidR="00C5758A" w:rsidRPr="00C5758A" w:rsidRDefault="00333BC1" w:rsidP="00C5758A">
      <w:pPr>
        <w:pStyle w:val="ListParagraph"/>
        <w:numPr>
          <w:ilvl w:val="0"/>
          <w:numId w:val="3"/>
        </w:numPr>
        <w:shd w:val="clear" w:color="auto" w:fill="FFFFFF"/>
        <w:spacing w:before="120" w:after="120" w:line="384" w:lineRule="atLeast"/>
        <w:rPr>
          <w:rFonts w:ascii="proxima-nova" w:eastAsia="Times New Roman" w:hAnsi="proxima-nova" w:cs="Times New Roman"/>
          <w:color w:val="444444"/>
          <w:spacing w:val="5"/>
          <w:sz w:val="23"/>
          <w:szCs w:val="23"/>
          <w:lang w:bidi="pa-IN"/>
        </w:rPr>
      </w:pPr>
      <w:hyperlink r:id="rId13" w:history="1">
        <w:r w:rsidR="00C5758A">
          <w:rPr>
            <w:rStyle w:val="Emphasis"/>
            <w:rFonts w:ascii="proxima-nova" w:hAnsi="proxima-nova"/>
            <w:color w:val="0D6ECE"/>
            <w:spacing w:val="5"/>
            <w:sz w:val="23"/>
            <w:szCs w:val="23"/>
            <w:shd w:val="clear" w:color="auto" w:fill="FFFFFF"/>
          </w:rPr>
          <w:t>Direct write-off method</w:t>
        </w:r>
      </w:hyperlink>
      <w:r w:rsidR="00C5758A">
        <w:rPr>
          <w:rFonts w:ascii="proxima-nova" w:hAnsi="proxima-nova"/>
          <w:color w:val="444444"/>
          <w:spacing w:val="5"/>
          <w:sz w:val="23"/>
          <w:szCs w:val="23"/>
          <w:shd w:val="clear" w:color="auto" w:fill="FFFFFF"/>
        </w:rPr>
        <w:t xml:space="preserve">. If you only reduce accounts receivable when there is a specific, recognizable bad debt, then debit the Bad Debt expense for the amount of the </w:t>
      </w:r>
      <w:hyperlink r:id="rId14" w:history="1">
        <w:r w:rsidR="00C5758A">
          <w:rPr>
            <w:rStyle w:val="Hyperlink"/>
            <w:rFonts w:ascii="proxima-nova" w:hAnsi="proxima-nova"/>
            <w:color w:val="0D6ECE"/>
            <w:spacing w:val="5"/>
            <w:sz w:val="23"/>
            <w:szCs w:val="23"/>
            <w:shd w:val="clear" w:color="auto" w:fill="FFFFFF"/>
          </w:rPr>
          <w:t>write off</w:t>
        </w:r>
      </w:hyperlink>
      <w:r w:rsidR="00C5758A">
        <w:rPr>
          <w:rFonts w:ascii="proxima-nova" w:hAnsi="proxima-nova"/>
          <w:color w:val="444444"/>
          <w:spacing w:val="5"/>
          <w:sz w:val="23"/>
          <w:szCs w:val="23"/>
          <w:shd w:val="clear" w:color="auto" w:fill="FFFFFF"/>
        </w:rPr>
        <w:t xml:space="preserve">, and credit the </w:t>
      </w:r>
      <w:hyperlink r:id="rId15" w:history="1">
        <w:r w:rsidR="00C5758A">
          <w:rPr>
            <w:rStyle w:val="Hyperlink"/>
            <w:rFonts w:ascii="proxima-nova" w:hAnsi="proxima-nova"/>
            <w:color w:val="0D6ECE"/>
            <w:spacing w:val="5"/>
            <w:sz w:val="23"/>
            <w:szCs w:val="23"/>
            <w:shd w:val="clear" w:color="auto" w:fill="FFFFFF"/>
          </w:rPr>
          <w:t>accounts receivable</w:t>
        </w:r>
      </w:hyperlink>
      <w:r w:rsidR="00C5758A">
        <w:rPr>
          <w:rFonts w:ascii="proxima-nova" w:hAnsi="proxima-nova"/>
          <w:color w:val="444444"/>
          <w:spacing w:val="5"/>
          <w:sz w:val="23"/>
          <w:szCs w:val="23"/>
          <w:shd w:val="clear" w:color="auto" w:fill="FFFFFF"/>
        </w:rPr>
        <w:t xml:space="preserve"> asset account for the same amount.</w:t>
      </w:r>
    </w:p>
    <w:p w:rsidR="00C5758A" w:rsidRPr="00C5758A" w:rsidRDefault="00333BC1" w:rsidP="00C5758A">
      <w:pPr>
        <w:pStyle w:val="ListParagraph"/>
        <w:numPr>
          <w:ilvl w:val="0"/>
          <w:numId w:val="3"/>
        </w:numPr>
        <w:shd w:val="clear" w:color="auto" w:fill="FFFFFF"/>
        <w:spacing w:before="120" w:after="120" w:line="384" w:lineRule="atLeast"/>
        <w:rPr>
          <w:rFonts w:ascii="proxima-nova" w:eastAsia="Times New Roman" w:hAnsi="proxima-nova" w:cs="Times New Roman"/>
          <w:color w:val="444444"/>
          <w:spacing w:val="5"/>
          <w:sz w:val="23"/>
          <w:szCs w:val="23"/>
          <w:lang w:bidi="pa-IN"/>
        </w:rPr>
      </w:pPr>
      <w:hyperlink r:id="rId16" w:history="1">
        <w:r w:rsidR="00C5758A">
          <w:rPr>
            <w:rStyle w:val="Emphasis"/>
            <w:rFonts w:ascii="proxima-nova" w:hAnsi="proxima-nova"/>
            <w:color w:val="0D6ECE"/>
            <w:spacing w:val="5"/>
            <w:sz w:val="23"/>
            <w:szCs w:val="23"/>
            <w:shd w:val="clear" w:color="auto" w:fill="FFFFFF"/>
          </w:rPr>
          <w:t>Allowance method</w:t>
        </w:r>
      </w:hyperlink>
      <w:r w:rsidR="00C5758A">
        <w:rPr>
          <w:rFonts w:ascii="proxima-nova" w:hAnsi="proxima-nova"/>
          <w:color w:val="444444"/>
          <w:spacing w:val="5"/>
          <w:sz w:val="23"/>
          <w:szCs w:val="23"/>
          <w:shd w:val="clear" w:color="auto" w:fill="FFFFFF"/>
        </w:rPr>
        <w:t xml:space="preserve">. If you charge an estimated amount of accounts receivable to bad debt expense in the same period when you record related revenue, then debit the Bad Debt expense for the amount of the estimated write-off, and credit the </w:t>
      </w:r>
      <w:hyperlink r:id="rId17" w:history="1">
        <w:r w:rsidR="00C5758A">
          <w:rPr>
            <w:rStyle w:val="Hyperlink"/>
            <w:rFonts w:ascii="proxima-nova" w:hAnsi="proxima-nova"/>
            <w:color w:val="0D6ECE"/>
            <w:spacing w:val="5"/>
            <w:sz w:val="23"/>
            <w:szCs w:val="23"/>
            <w:shd w:val="clear" w:color="auto" w:fill="FFFFFF"/>
          </w:rPr>
          <w:t>Allowance for Doubtful Accounts</w:t>
        </w:r>
      </w:hyperlink>
      <w:r w:rsidR="00C5758A">
        <w:rPr>
          <w:rFonts w:ascii="proxima-nova" w:hAnsi="proxima-nova"/>
          <w:color w:val="444444"/>
          <w:spacing w:val="5"/>
          <w:sz w:val="23"/>
          <w:szCs w:val="23"/>
          <w:shd w:val="clear" w:color="auto" w:fill="FFFFFF"/>
        </w:rPr>
        <w:t xml:space="preserve"> contra account for the same amount.</w:t>
      </w:r>
    </w:p>
    <w:p w:rsidR="00C5758A" w:rsidRDefault="00C5758A" w:rsidP="00C5758A">
      <w:pPr>
        <w:shd w:val="clear" w:color="auto" w:fill="FFFFFF"/>
        <w:spacing w:before="120" w:after="120" w:line="384" w:lineRule="atLeast"/>
        <w:rPr>
          <w:rFonts w:ascii="proxima-nova" w:eastAsia="Times New Roman" w:hAnsi="proxima-nova" w:cs="Times New Roman"/>
          <w:color w:val="444444"/>
          <w:spacing w:val="5"/>
          <w:sz w:val="23"/>
          <w:szCs w:val="23"/>
          <w:lang w:bidi="pa-IN"/>
        </w:rPr>
      </w:pPr>
    </w:p>
    <w:p w:rsidR="00C5758A" w:rsidRPr="00C5758A" w:rsidRDefault="00C5758A"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sidRPr="00C5758A">
        <w:rPr>
          <w:rFonts w:ascii="proxima-nova" w:eastAsia="Times New Roman" w:hAnsi="proxima-nova" w:cs="Times New Roman"/>
          <w:color w:val="444444"/>
          <w:spacing w:val="5"/>
          <w:sz w:val="23"/>
          <w:szCs w:val="23"/>
          <w:lang w:bidi="pa-IN"/>
        </w:rPr>
        <w:lastRenderedPageBreak/>
        <w:t xml:space="preserve">The direct write-off method is not the best approach, because the charge to expense may occur several months after you recorded the related </w:t>
      </w:r>
      <w:hyperlink r:id="rId18" w:history="1">
        <w:r w:rsidRPr="00C5758A">
          <w:rPr>
            <w:rFonts w:ascii="proxima-nova" w:eastAsia="Times New Roman" w:hAnsi="proxima-nova" w:cs="Times New Roman"/>
            <w:color w:val="0D6ECE"/>
            <w:spacing w:val="5"/>
            <w:sz w:val="23"/>
            <w:lang w:bidi="pa-IN"/>
          </w:rPr>
          <w:t>revenue</w:t>
        </w:r>
      </w:hyperlink>
      <w:r w:rsidRPr="00C5758A">
        <w:rPr>
          <w:rFonts w:ascii="proxima-nova" w:eastAsia="Times New Roman" w:hAnsi="proxima-nova" w:cs="Times New Roman"/>
          <w:color w:val="444444"/>
          <w:spacing w:val="5"/>
          <w:sz w:val="23"/>
          <w:szCs w:val="23"/>
          <w:lang w:bidi="pa-IN"/>
        </w:rPr>
        <w:t xml:space="preserve">, so there is no matching of revenue and </w:t>
      </w:r>
      <w:hyperlink r:id="rId19" w:history="1">
        <w:r w:rsidRPr="00C5758A">
          <w:rPr>
            <w:rFonts w:ascii="proxima-nova" w:eastAsia="Times New Roman" w:hAnsi="proxima-nova" w:cs="Times New Roman"/>
            <w:color w:val="0D6ECE"/>
            <w:spacing w:val="5"/>
            <w:sz w:val="23"/>
            <w:lang w:bidi="pa-IN"/>
          </w:rPr>
          <w:t>expense</w:t>
        </w:r>
      </w:hyperlink>
      <w:r w:rsidRPr="00C5758A">
        <w:rPr>
          <w:rFonts w:ascii="proxima-nova" w:eastAsia="Times New Roman" w:hAnsi="proxima-nova" w:cs="Times New Roman"/>
          <w:color w:val="444444"/>
          <w:spacing w:val="5"/>
          <w:sz w:val="23"/>
          <w:szCs w:val="23"/>
          <w:lang w:bidi="pa-IN"/>
        </w:rPr>
        <w:t xml:space="preserve"> within the same period (the </w:t>
      </w:r>
      <w:hyperlink r:id="rId20" w:history="1">
        <w:r w:rsidRPr="00C5758A">
          <w:rPr>
            <w:rFonts w:ascii="proxima-nova" w:eastAsia="Times New Roman" w:hAnsi="proxima-nova" w:cs="Times New Roman"/>
            <w:color w:val="0D6ECE"/>
            <w:spacing w:val="5"/>
            <w:sz w:val="23"/>
            <w:lang w:bidi="pa-IN"/>
          </w:rPr>
          <w:t>matching principle</w:t>
        </w:r>
      </w:hyperlink>
      <w:r w:rsidRPr="00C5758A">
        <w:rPr>
          <w:rFonts w:ascii="proxima-nova" w:eastAsia="Times New Roman" w:hAnsi="proxima-nova" w:cs="Times New Roman"/>
          <w:color w:val="444444"/>
          <w:spacing w:val="5"/>
          <w:sz w:val="23"/>
          <w:szCs w:val="23"/>
          <w:lang w:bidi="pa-IN"/>
        </w:rPr>
        <w:t>).The allowance method has the advantage of matching expected bad debts to revenues, even if you don't know exactly which accounts receivable will not be collectible.</w:t>
      </w:r>
    </w:p>
    <w:p w:rsidR="00C5758A" w:rsidRDefault="00C5758A"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sidRPr="00C5758A">
        <w:rPr>
          <w:rFonts w:ascii="proxima-nova" w:eastAsia="Times New Roman" w:hAnsi="proxima-nova" w:cs="Times New Roman"/>
          <w:color w:val="444444"/>
          <w:spacing w:val="5"/>
          <w:sz w:val="23"/>
          <w:szCs w:val="23"/>
          <w:lang w:bidi="pa-IN"/>
        </w:rPr>
        <w:t xml:space="preserve">It is not entirely true that a bad debt will never be collected. It is possible that a customer will pay extremely late, in which case the original </w:t>
      </w:r>
      <w:hyperlink r:id="rId21" w:history="1">
        <w:r w:rsidRPr="00C5758A">
          <w:rPr>
            <w:rFonts w:ascii="proxima-nova" w:eastAsia="Times New Roman" w:hAnsi="proxima-nova" w:cs="Times New Roman"/>
            <w:color w:val="0D6ECE"/>
            <w:spacing w:val="5"/>
            <w:sz w:val="23"/>
            <w:lang w:bidi="pa-IN"/>
          </w:rPr>
          <w:t>write off</w:t>
        </w:r>
      </w:hyperlink>
      <w:r w:rsidRPr="00C5758A">
        <w:rPr>
          <w:rFonts w:ascii="proxima-nova" w:eastAsia="Times New Roman" w:hAnsi="proxima-nova" w:cs="Times New Roman"/>
          <w:color w:val="444444"/>
          <w:spacing w:val="5"/>
          <w:sz w:val="23"/>
          <w:szCs w:val="23"/>
          <w:lang w:bidi="pa-IN"/>
        </w:rPr>
        <w:t xml:space="preserve"> of the related receivable should be reversed, and the payment charged against it. Do not create new revenue to reflect the receipt of a late </w:t>
      </w:r>
      <w:hyperlink r:id="rId22" w:history="1">
        <w:r w:rsidRPr="00C5758A">
          <w:rPr>
            <w:rFonts w:ascii="proxima-nova" w:eastAsia="Times New Roman" w:hAnsi="proxima-nova" w:cs="Times New Roman"/>
            <w:color w:val="0D6ECE"/>
            <w:spacing w:val="5"/>
            <w:sz w:val="23"/>
            <w:lang w:bidi="pa-IN"/>
          </w:rPr>
          <w:t>cash</w:t>
        </w:r>
      </w:hyperlink>
      <w:r w:rsidRPr="00C5758A">
        <w:rPr>
          <w:rFonts w:ascii="proxima-nova" w:eastAsia="Times New Roman" w:hAnsi="proxima-nova" w:cs="Times New Roman"/>
          <w:color w:val="444444"/>
          <w:spacing w:val="5"/>
          <w:sz w:val="23"/>
          <w:szCs w:val="23"/>
          <w:lang w:bidi="pa-IN"/>
        </w:rPr>
        <w:t xml:space="preserve"> payment on a written-off receivable, since doing so would overstate revenue.</w:t>
      </w:r>
    </w:p>
    <w:p w:rsidR="002C23D2" w:rsidRDefault="002C23D2" w:rsidP="00C5758A">
      <w:pPr>
        <w:shd w:val="clear" w:color="auto" w:fill="FFFFFF"/>
        <w:spacing w:before="360" w:after="360" w:line="384" w:lineRule="atLeast"/>
        <w:rPr>
          <w:rFonts w:ascii="Arial Black" w:eastAsia="Times New Roman" w:hAnsi="Arial Black" w:cs="Times New Roman"/>
          <w:b/>
          <w:bCs/>
          <w:color w:val="444444"/>
          <w:spacing w:val="5"/>
          <w:sz w:val="27"/>
          <w:szCs w:val="28"/>
          <w:u w:val="single"/>
          <w:lang w:bidi="pa-IN"/>
        </w:rPr>
      </w:pPr>
      <w:r w:rsidRPr="002C23D2">
        <w:rPr>
          <w:rFonts w:ascii="Arial Black" w:eastAsia="Times New Roman" w:hAnsi="Arial Black" w:cs="Times New Roman"/>
          <w:b/>
          <w:bCs/>
          <w:color w:val="444444"/>
          <w:spacing w:val="5"/>
          <w:sz w:val="27"/>
          <w:szCs w:val="28"/>
          <w:u w:val="single"/>
          <w:lang w:bidi="pa-IN"/>
        </w:rPr>
        <w:t>Example 1:</w:t>
      </w:r>
    </w:p>
    <w:p w:rsidR="002C23D2" w:rsidRDefault="002C23D2" w:rsidP="00C5758A">
      <w:pPr>
        <w:shd w:val="clear" w:color="auto" w:fill="FFFFFF"/>
        <w:spacing w:before="360" w:after="360" w:line="384" w:lineRule="atLeast"/>
      </w:pPr>
      <w:r>
        <w:t xml:space="preserve">To illustrate a receivables write-off, assume that the </w:t>
      </w:r>
      <w:proofErr w:type="spellStart"/>
      <w:r>
        <w:t>fi</w:t>
      </w:r>
      <w:proofErr w:type="spellEnd"/>
      <w:r>
        <w:t xml:space="preserve"> </w:t>
      </w:r>
      <w:proofErr w:type="spellStart"/>
      <w:r>
        <w:t>nancial</w:t>
      </w:r>
      <w:proofErr w:type="spellEnd"/>
      <w:r>
        <w:t xml:space="preserve"> vice president of </w:t>
      </w:r>
      <w:proofErr w:type="spellStart"/>
      <w:r>
        <w:t>Hampson</w:t>
      </w:r>
      <w:proofErr w:type="spellEnd"/>
      <w:r>
        <w:t xml:space="preserve"> Furniture authorizes a write-off of the $500 balance owed by R. A. Ware on March 1, 2018. The entry to record the write-off is as follows.</w:t>
      </w:r>
    </w:p>
    <w:p w:rsidR="002C23D2" w:rsidRPr="002C23D2" w:rsidRDefault="002C23D2" w:rsidP="00C5758A">
      <w:pPr>
        <w:shd w:val="clear" w:color="auto" w:fill="FFFFFF"/>
        <w:spacing w:before="360" w:after="360" w:line="384" w:lineRule="atLeast"/>
        <w:rPr>
          <w:rFonts w:ascii="Arial Black" w:eastAsia="Times New Roman" w:hAnsi="Arial Black" w:cs="Times New Roman"/>
          <w:b/>
          <w:bCs/>
          <w:color w:val="444444"/>
          <w:spacing w:val="5"/>
          <w:sz w:val="27"/>
          <w:szCs w:val="28"/>
          <w:u w:val="single"/>
          <w:lang w:bidi="pa-IN"/>
        </w:rPr>
      </w:pPr>
      <w:r>
        <w:rPr>
          <w:rFonts w:ascii="Arial Black" w:eastAsia="Times New Roman" w:hAnsi="Arial Black" w:cs="Times New Roman"/>
          <w:b/>
          <w:bCs/>
          <w:noProof/>
          <w:color w:val="444444"/>
          <w:spacing w:val="5"/>
          <w:sz w:val="27"/>
          <w:szCs w:val="28"/>
          <w:u w:val="single"/>
          <w:lang w:bidi="pa-IN"/>
        </w:rPr>
        <w:drawing>
          <wp:inline distT="0" distB="0" distL="0" distR="0">
            <wp:extent cx="4772025" cy="628650"/>
            <wp:effectExtent l="19050" t="0" r="9525" b="0"/>
            <wp:docPr id="5" name="Picture 4"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23"/>
                    <a:stretch>
                      <a:fillRect/>
                    </a:stretch>
                  </pic:blipFill>
                  <pic:spPr>
                    <a:xfrm>
                      <a:off x="0" y="0"/>
                      <a:ext cx="4772025" cy="628650"/>
                    </a:xfrm>
                    <a:prstGeom prst="rect">
                      <a:avLst/>
                    </a:prstGeom>
                  </pic:spPr>
                </pic:pic>
              </a:graphicData>
            </a:graphic>
          </wp:inline>
        </w:drawing>
      </w:r>
    </w:p>
    <w:p w:rsidR="002C23D2" w:rsidRDefault="002C23D2" w:rsidP="00C5758A">
      <w:pPr>
        <w:shd w:val="clear" w:color="auto" w:fill="FFFFFF"/>
        <w:spacing w:before="360" w:after="360" w:line="384" w:lineRule="atLeast"/>
      </w:pPr>
      <w:r>
        <w:t>, the entry to record the write-off of an uncollectible account reduces both Accounts Receivable and Allowance for Doubtful Accounts. After posting, the general ledger accounts appear as shown in Illustration 9-4</w:t>
      </w:r>
    </w:p>
    <w:p w:rsidR="002C23D2" w:rsidRDefault="002C23D2"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Pr>
          <w:rFonts w:ascii="proxima-nova" w:eastAsia="Times New Roman" w:hAnsi="proxima-nova" w:cs="Times New Roman"/>
          <w:noProof/>
          <w:color w:val="444444"/>
          <w:spacing w:val="5"/>
          <w:sz w:val="23"/>
          <w:szCs w:val="23"/>
          <w:lang w:bidi="pa-IN"/>
        </w:rPr>
        <w:drawing>
          <wp:inline distT="0" distB="0" distL="0" distR="0">
            <wp:extent cx="5153025" cy="612961"/>
            <wp:effectExtent l="19050" t="0" r="9525" b="0"/>
            <wp:docPr id="6" name="Picture 5"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24"/>
                    <a:stretch>
                      <a:fillRect/>
                    </a:stretch>
                  </pic:blipFill>
                  <pic:spPr>
                    <a:xfrm>
                      <a:off x="0" y="0"/>
                      <a:ext cx="5153025" cy="612961"/>
                    </a:xfrm>
                    <a:prstGeom prst="rect">
                      <a:avLst/>
                    </a:prstGeom>
                  </pic:spPr>
                </pic:pic>
              </a:graphicData>
            </a:graphic>
          </wp:inline>
        </w:drawing>
      </w:r>
    </w:p>
    <w:p w:rsidR="002C23D2" w:rsidRDefault="002C23D2" w:rsidP="00C5758A">
      <w:pPr>
        <w:shd w:val="clear" w:color="auto" w:fill="FFFFFF"/>
        <w:spacing w:before="360" w:after="360" w:line="384" w:lineRule="atLeast"/>
      </w:pPr>
      <w:r>
        <w:t>A write-off affects only balance sheet accounts—not income statement accounts. The write-off of the account reduces both Accounts Receivable and Allowance for Doubtful Accounts. Cash realizable value in the balance sheet, therefore, remains the same, as Illustration 9-5 shows.</w:t>
      </w:r>
    </w:p>
    <w:p w:rsidR="002C23D2" w:rsidRDefault="002C23D2"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Pr>
          <w:rFonts w:ascii="proxima-nova" w:eastAsia="Times New Roman" w:hAnsi="proxima-nova" w:cs="Times New Roman"/>
          <w:noProof/>
          <w:color w:val="444444"/>
          <w:spacing w:val="5"/>
          <w:sz w:val="23"/>
          <w:szCs w:val="23"/>
          <w:lang w:bidi="pa-IN"/>
        </w:rPr>
        <w:drawing>
          <wp:inline distT="0" distB="0" distL="0" distR="0">
            <wp:extent cx="5438775" cy="800100"/>
            <wp:effectExtent l="19050" t="0" r="9525" b="0"/>
            <wp:docPr id="7" name="Picture 6"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25"/>
                    <a:stretch>
                      <a:fillRect/>
                    </a:stretch>
                  </pic:blipFill>
                  <pic:spPr>
                    <a:xfrm>
                      <a:off x="0" y="0"/>
                      <a:ext cx="5438775" cy="800100"/>
                    </a:xfrm>
                    <a:prstGeom prst="rect">
                      <a:avLst/>
                    </a:prstGeom>
                  </pic:spPr>
                </pic:pic>
              </a:graphicData>
            </a:graphic>
          </wp:inline>
        </w:drawing>
      </w:r>
    </w:p>
    <w:p w:rsidR="002C23D2" w:rsidRDefault="008B1337" w:rsidP="00C5758A">
      <w:pPr>
        <w:shd w:val="clear" w:color="auto" w:fill="FFFFFF"/>
        <w:spacing w:before="360" w:after="360" w:line="384" w:lineRule="atLeast"/>
      </w:pPr>
      <w:r>
        <w:lastRenderedPageBreak/>
        <w:t>To illustrate, assume that Gonzalez Company elects to use the percentage-of-sales basis. It concludes that 1% of net credit sales will become uncollectible. If net credit sales for 2017 are $800,000, the estimated bad debt expense is $8,000 (1% 3 $800,000). The adjusting entry is as follows.</w:t>
      </w:r>
    </w:p>
    <w:p w:rsidR="008B1337" w:rsidRDefault="008B1337"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Pr>
          <w:rFonts w:ascii="proxima-nova" w:eastAsia="Times New Roman" w:hAnsi="proxima-nova" w:cs="Times New Roman"/>
          <w:noProof/>
          <w:color w:val="444444"/>
          <w:spacing w:val="5"/>
          <w:sz w:val="23"/>
          <w:szCs w:val="23"/>
          <w:lang w:bidi="pa-IN"/>
        </w:rPr>
        <w:drawing>
          <wp:inline distT="0" distB="0" distL="0" distR="0">
            <wp:extent cx="5343525" cy="571500"/>
            <wp:effectExtent l="19050" t="0" r="9525" b="0"/>
            <wp:docPr id="8" name="Picture 7"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26"/>
                    <a:stretch>
                      <a:fillRect/>
                    </a:stretch>
                  </pic:blipFill>
                  <pic:spPr>
                    <a:xfrm>
                      <a:off x="0" y="0"/>
                      <a:ext cx="5343525" cy="571500"/>
                    </a:xfrm>
                    <a:prstGeom prst="rect">
                      <a:avLst/>
                    </a:prstGeom>
                  </pic:spPr>
                </pic:pic>
              </a:graphicData>
            </a:graphic>
          </wp:inline>
        </w:drawing>
      </w:r>
    </w:p>
    <w:p w:rsidR="008B1337" w:rsidRDefault="008B1337" w:rsidP="00C5758A">
      <w:pPr>
        <w:shd w:val="clear" w:color="auto" w:fill="FFFFFF"/>
        <w:spacing w:before="360" w:after="360" w:line="384" w:lineRule="atLeast"/>
      </w:pPr>
      <w:r>
        <w:t>After the adjusting entry is posted, assuming the allowance account already has a credit balance of $1,723, the accounts of Gonzalez Company will show the following.</w:t>
      </w:r>
    </w:p>
    <w:p w:rsidR="008B1337" w:rsidRPr="00C5758A" w:rsidRDefault="008B1337" w:rsidP="00C5758A">
      <w:pPr>
        <w:shd w:val="clear" w:color="auto" w:fill="FFFFFF"/>
        <w:spacing w:before="360" w:after="360" w:line="384" w:lineRule="atLeast"/>
        <w:rPr>
          <w:rFonts w:ascii="proxima-nova" w:eastAsia="Times New Roman" w:hAnsi="proxima-nova" w:cs="Times New Roman"/>
          <w:color w:val="444444"/>
          <w:spacing w:val="5"/>
          <w:sz w:val="23"/>
          <w:szCs w:val="23"/>
          <w:lang w:bidi="pa-IN"/>
        </w:rPr>
      </w:pPr>
      <w:r>
        <w:rPr>
          <w:rFonts w:ascii="proxima-nova" w:eastAsia="Times New Roman" w:hAnsi="proxima-nova" w:cs="Times New Roman"/>
          <w:noProof/>
          <w:color w:val="444444"/>
          <w:spacing w:val="5"/>
          <w:sz w:val="23"/>
          <w:szCs w:val="23"/>
          <w:lang w:bidi="pa-IN"/>
        </w:rPr>
        <w:drawing>
          <wp:inline distT="0" distB="0" distL="0" distR="0">
            <wp:extent cx="5200650" cy="771525"/>
            <wp:effectExtent l="19050" t="0" r="0" b="0"/>
            <wp:docPr id="9" name="Picture 8"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27"/>
                    <a:stretch>
                      <a:fillRect/>
                    </a:stretch>
                  </pic:blipFill>
                  <pic:spPr>
                    <a:xfrm>
                      <a:off x="0" y="0"/>
                      <a:ext cx="5200650" cy="771525"/>
                    </a:xfrm>
                    <a:prstGeom prst="rect">
                      <a:avLst/>
                    </a:prstGeom>
                  </pic:spPr>
                </pic:pic>
              </a:graphicData>
            </a:graphic>
          </wp:inline>
        </w:drawing>
      </w:r>
    </w:p>
    <w:p w:rsidR="00D73DDB" w:rsidRPr="000543E3" w:rsidRDefault="00D73DDB" w:rsidP="00C5758A">
      <w:pPr>
        <w:shd w:val="clear" w:color="auto" w:fill="FFFFFF"/>
        <w:spacing w:before="120" w:after="120" w:line="384" w:lineRule="atLeast"/>
        <w:rPr>
          <w:rFonts w:ascii="Arial Black" w:eastAsia="Times New Roman" w:hAnsi="Arial Black" w:cs="Times New Roman"/>
          <w:b/>
          <w:bCs/>
          <w:color w:val="444444"/>
          <w:spacing w:val="5"/>
          <w:sz w:val="25"/>
          <w:szCs w:val="24"/>
          <w:u w:val="single"/>
          <w:lang w:bidi="pa-IN"/>
        </w:rPr>
      </w:pPr>
      <w:r w:rsidRPr="002C23D2">
        <w:rPr>
          <w:rFonts w:ascii="Arial Black" w:eastAsia="Times New Roman" w:hAnsi="Arial Black" w:cs="Times New Roman"/>
          <w:b/>
          <w:bCs/>
          <w:color w:val="444444"/>
          <w:spacing w:val="5"/>
          <w:sz w:val="25"/>
          <w:szCs w:val="24"/>
          <w:u w:val="single"/>
          <w:lang w:bidi="pa-IN"/>
        </w:rPr>
        <w:t xml:space="preserve">Example </w:t>
      </w:r>
      <w:r w:rsidR="002C23D2" w:rsidRPr="002C23D2">
        <w:rPr>
          <w:rFonts w:ascii="Arial Black" w:eastAsia="Times New Roman" w:hAnsi="Arial Black" w:cs="Times New Roman"/>
          <w:b/>
          <w:bCs/>
          <w:color w:val="444444"/>
          <w:spacing w:val="5"/>
          <w:sz w:val="25"/>
          <w:szCs w:val="24"/>
          <w:u w:val="single"/>
          <w:lang w:bidi="pa-IN"/>
        </w:rPr>
        <w:t>2</w:t>
      </w:r>
    </w:p>
    <w:p w:rsidR="00D73DDB" w:rsidRDefault="00D73DDB" w:rsidP="00C5758A">
      <w:pPr>
        <w:shd w:val="clear" w:color="auto" w:fill="FFFFFF"/>
        <w:spacing w:before="120" w:after="120" w:line="384" w:lineRule="atLeast"/>
        <w:rPr>
          <w:b/>
          <w:bCs/>
        </w:rPr>
      </w:pPr>
      <w:r>
        <w:t xml:space="preserve">Brule Co. has been in business </w:t>
      </w:r>
      <w:proofErr w:type="spellStart"/>
      <w:r>
        <w:t>fi</w:t>
      </w:r>
      <w:proofErr w:type="spellEnd"/>
      <w:r>
        <w:t xml:space="preserve"> </w:t>
      </w:r>
      <w:proofErr w:type="spellStart"/>
      <w:r>
        <w:t>ve</w:t>
      </w:r>
      <w:proofErr w:type="spellEnd"/>
      <w:r>
        <w:t xml:space="preserve"> years. The unadjusted trial balance at the end of the current year shows:</w:t>
      </w:r>
    </w:p>
    <w:p w:rsidR="00D73DDB" w:rsidRDefault="00D73DDB" w:rsidP="00D73DDB">
      <w:pPr>
        <w:shd w:val="clear" w:color="auto" w:fill="FFFFFF"/>
        <w:spacing w:before="120" w:after="120" w:line="384" w:lineRule="atLeast"/>
        <w:jc w:val="center"/>
      </w:pPr>
      <w:r>
        <w:t>Accounts Receivable</w:t>
      </w:r>
      <w:r>
        <w:tab/>
        <w:t xml:space="preserve"> </w:t>
      </w:r>
      <w:r>
        <w:tab/>
        <w:t xml:space="preserve"> $30,000 Dr.</w:t>
      </w:r>
    </w:p>
    <w:p w:rsidR="00D73DDB" w:rsidRDefault="00D73DDB" w:rsidP="00D73DDB">
      <w:pPr>
        <w:shd w:val="clear" w:color="auto" w:fill="FFFFFF"/>
        <w:spacing w:before="120" w:after="120" w:line="384" w:lineRule="atLeast"/>
        <w:jc w:val="center"/>
      </w:pPr>
      <w:r>
        <w:t>Sales Revenue</w:t>
      </w:r>
      <w:r>
        <w:tab/>
      </w:r>
      <w:r>
        <w:tab/>
        <w:t xml:space="preserve">       $180,000 Cr.</w:t>
      </w:r>
    </w:p>
    <w:p w:rsidR="00D73DDB" w:rsidRDefault="00D73DDB" w:rsidP="00D73DDB">
      <w:pPr>
        <w:shd w:val="clear" w:color="auto" w:fill="FFFFFF"/>
        <w:spacing w:before="120" w:after="120" w:line="384" w:lineRule="atLeast"/>
        <w:jc w:val="center"/>
      </w:pPr>
      <w:r>
        <w:t>Allowance for Doubtful Accounts</w:t>
      </w:r>
      <w:r>
        <w:tab/>
      </w:r>
      <w:r>
        <w:tab/>
        <w:t xml:space="preserve"> $2,000 Dr.</w:t>
      </w:r>
    </w:p>
    <w:p w:rsidR="00D73DDB" w:rsidRDefault="00D73DDB" w:rsidP="00C5758A">
      <w:pPr>
        <w:shd w:val="clear" w:color="auto" w:fill="FFFFFF"/>
        <w:spacing w:before="120" w:after="120" w:line="384" w:lineRule="atLeast"/>
      </w:pPr>
      <w:r>
        <w:t>Brule estimates bad debts to be 10% of receivables. Prepare the entry necessary to adjust Allowance for Doubtful Accounts.</w:t>
      </w:r>
    </w:p>
    <w:p w:rsidR="00D73DDB" w:rsidRPr="000543E3" w:rsidRDefault="00D73DDB" w:rsidP="00C5758A">
      <w:pPr>
        <w:shd w:val="clear" w:color="auto" w:fill="FFFFFF"/>
        <w:spacing w:before="120" w:after="120" w:line="384" w:lineRule="atLeast"/>
        <w:rPr>
          <w:b/>
          <w:bCs/>
          <w:color w:val="FF0000"/>
          <w:sz w:val="22"/>
          <w:szCs w:val="22"/>
        </w:rPr>
      </w:pPr>
      <w:r w:rsidRPr="000543E3">
        <w:rPr>
          <w:b/>
          <w:bCs/>
          <w:color w:val="FF0000"/>
          <w:sz w:val="22"/>
          <w:szCs w:val="22"/>
        </w:rPr>
        <w:t xml:space="preserve">Solution: </w:t>
      </w:r>
    </w:p>
    <w:p w:rsidR="00D73DDB" w:rsidRDefault="00D73DDB" w:rsidP="00C5758A">
      <w:pPr>
        <w:shd w:val="clear" w:color="auto" w:fill="FFFFFF"/>
        <w:spacing w:before="120" w:after="120" w:line="384" w:lineRule="atLeast"/>
      </w:pPr>
      <w:r>
        <w:t>The following entry should be made to bring the balance in Allowance for Doubtful Accounts up to a normal credit balance of $3,000 (10% 3 $30,000):</w:t>
      </w:r>
    </w:p>
    <w:tbl>
      <w:tblPr>
        <w:tblStyle w:val="TableGrid"/>
        <w:tblW w:w="0" w:type="auto"/>
        <w:tblLook w:val="04A0"/>
      </w:tblPr>
      <w:tblGrid>
        <w:gridCol w:w="5328"/>
        <w:gridCol w:w="2340"/>
        <w:gridCol w:w="1908"/>
      </w:tblGrid>
      <w:tr w:rsidR="00D73DDB" w:rsidTr="00D73DDB">
        <w:tc>
          <w:tcPr>
            <w:tcW w:w="5328" w:type="dxa"/>
          </w:tcPr>
          <w:p w:rsidR="00D73DDB" w:rsidRDefault="00D73DDB" w:rsidP="00C5758A">
            <w:pPr>
              <w:spacing w:before="120" w:after="120" w:line="384" w:lineRule="atLeast"/>
              <w:rPr>
                <w:rFonts w:ascii="proxima-nova" w:eastAsia="Times New Roman" w:hAnsi="proxima-nova" w:cs="Times New Roman"/>
                <w:b/>
                <w:bCs/>
                <w:color w:val="444444"/>
                <w:spacing w:val="5"/>
                <w:sz w:val="23"/>
                <w:szCs w:val="23"/>
                <w:lang w:bidi="pa-IN"/>
              </w:rPr>
            </w:pPr>
            <w:r>
              <w:t>Bad Debt Expense [(10% 3 $30,000)+ $2,000]</w:t>
            </w:r>
          </w:p>
        </w:tc>
        <w:tc>
          <w:tcPr>
            <w:tcW w:w="2340" w:type="dxa"/>
          </w:tcPr>
          <w:p w:rsidR="00D73DDB" w:rsidRDefault="00D73DDB" w:rsidP="00D73DDB">
            <w:pPr>
              <w:spacing w:before="120" w:after="120" w:line="384" w:lineRule="atLeast"/>
              <w:jc w:val="center"/>
              <w:rPr>
                <w:rFonts w:ascii="proxima-nova" w:eastAsia="Times New Roman" w:hAnsi="proxima-nova" w:cs="Times New Roman"/>
                <w:b/>
                <w:bCs/>
                <w:color w:val="444444"/>
                <w:spacing w:val="5"/>
                <w:sz w:val="23"/>
                <w:szCs w:val="23"/>
                <w:lang w:bidi="pa-IN"/>
              </w:rPr>
            </w:pPr>
            <w:r>
              <w:rPr>
                <w:rFonts w:ascii="proxima-nova" w:eastAsia="Times New Roman" w:hAnsi="proxima-nova" w:cs="Times New Roman"/>
                <w:b/>
                <w:bCs/>
                <w:color w:val="444444"/>
                <w:spacing w:val="5"/>
                <w:sz w:val="23"/>
                <w:szCs w:val="23"/>
                <w:lang w:bidi="pa-IN"/>
              </w:rPr>
              <w:t>$5000</w:t>
            </w:r>
          </w:p>
        </w:tc>
        <w:tc>
          <w:tcPr>
            <w:tcW w:w="1908" w:type="dxa"/>
          </w:tcPr>
          <w:p w:rsidR="00D73DDB" w:rsidRDefault="00D73DDB" w:rsidP="00C5758A">
            <w:pPr>
              <w:spacing w:before="120" w:after="120" w:line="384" w:lineRule="atLeast"/>
              <w:rPr>
                <w:rFonts w:ascii="proxima-nova" w:eastAsia="Times New Roman" w:hAnsi="proxima-nova" w:cs="Times New Roman"/>
                <w:b/>
                <w:bCs/>
                <w:color w:val="444444"/>
                <w:spacing w:val="5"/>
                <w:sz w:val="23"/>
                <w:szCs w:val="23"/>
                <w:lang w:bidi="pa-IN"/>
              </w:rPr>
            </w:pPr>
          </w:p>
        </w:tc>
      </w:tr>
      <w:tr w:rsidR="00D73DDB" w:rsidTr="00D73DDB">
        <w:tc>
          <w:tcPr>
            <w:tcW w:w="5328" w:type="dxa"/>
          </w:tcPr>
          <w:p w:rsidR="00D73DDB" w:rsidRDefault="00D73DDB" w:rsidP="00C5758A">
            <w:pPr>
              <w:spacing w:before="120" w:after="120" w:line="384" w:lineRule="atLeast"/>
            </w:pPr>
            <w:r>
              <w:t>Allowance for Doubtful Accounts</w:t>
            </w:r>
          </w:p>
          <w:p w:rsidR="00D73DDB" w:rsidRPr="00D73DDB" w:rsidRDefault="00D73DDB" w:rsidP="00D73DDB">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r>
              <w:t>(To record estimate of uncollectible accounts)</w:t>
            </w:r>
          </w:p>
          <w:p w:rsidR="00D73DDB" w:rsidRDefault="00D73DDB" w:rsidP="00C5758A">
            <w:pPr>
              <w:spacing w:before="120" w:after="120" w:line="384" w:lineRule="atLeast"/>
              <w:rPr>
                <w:rFonts w:ascii="proxima-nova" w:eastAsia="Times New Roman" w:hAnsi="proxima-nova" w:cs="Times New Roman"/>
                <w:b/>
                <w:bCs/>
                <w:color w:val="444444"/>
                <w:spacing w:val="5"/>
                <w:sz w:val="23"/>
                <w:szCs w:val="23"/>
                <w:lang w:bidi="pa-IN"/>
              </w:rPr>
            </w:pPr>
          </w:p>
        </w:tc>
        <w:tc>
          <w:tcPr>
            <w:tcW w:w="2340" w:type="dxa"/>
          </w:tcPr>
          <w:p w:rsidR="00D73DDB" w:rsidRDefault="00D73DDB" w:rsidP="00C5758A">
            <w:pPr>
              <w:spacing w:before="120" w:after="120" w:line="384" w:lineRule="atLeast"/>
              <w:rPr>
                <w:rFonts w:ascii="proxima-nova" w:eastAsia="Times New Roman" w:hAnsi="proxima-nova" w:cs="Times New Roman"/>
                <w:b/>
                <w:bCs/>
                <w:color w:val="444444"/>
                <w:spacing w:val="5"/>
                <w:sz w:val="23"/>
                <w:szCs w:val="23"/>
                <w:lang w:bidi="pa-IN"/>
              </w:rPr>
            </w:pPr>
          </w:p>
        </w:tc>
        <w:tc>
          <w:tcPr>
            <w:tcW w:w="1908" w:type="dxa"/>
          </w:tcPr>
          <w:p w:rsidR="00D73DDB" w:rsidRDefault="00D73DDB" w:rsidP="00D73DDB">
            <w:pPr>
              <w:spacing w:before="120" w:after="120" w:line="384" w:lineRule="atLeast"/>
              <w:jc w:val="center"/>
              <w:rPr>
                <w:rFonts w:ascii="proxima-nova" w:eastAsia="Times New Roman" w:hAnsi="proxima-nova" w:cs="Times New Roman"/>
                <w:b/>
                <w:bCs/>
                <w:color w:val="444444"/>
                <w:spacing w:val="5"/>
                <w:sz w:val="23"/>
                <w:szCs w:val="23"/>
                <w:lang w:bidi="pa-IN"/>
              </w:rPr>
            </w:pPr>
            <w:r>
              <w:rPr>
                <w:rFonts w:ascii="proxima-nova" w:eastAsia="Times New Roman" w:hAnsi="proxima-nova" w:cs="Times New Roman"/>
                <w:b/>
                <w:bCs/>
                <w:color w:val="444444"/>
                <w:spacing w:val="5"/>
                <w:sz w:val="23"/>
                <w:szCs w:val="23"/>
                <w:lang w:bidi="pa-IN"/>
              </w:rPr>
              <w:t>$5000</w:t>
            </w:r>
          </w:p>
        </w:tc>
      </w:tr>
    </w:tbl>
    <w:p w:rsidR="00D73DDB" w:rsidRDefault="00D73DDB">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435D23" w:rsidRDefault="00435D23">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435D23" w:rsidRDefault="00435D23">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435D23" w:rsidRPr="000543E3" w:rsidRDefault="00435D23">
      <w:pPr>
        <w:shd w:val="clear" w:color="auto" w:fill="FFFFFF"/>
        <w:spacing w:before="120" w:after="120" w:line="384" w:lineRule="atLeast"/>
        <w:rPr>
          <w:rFonts w:ascii="Arial Black" w:eastAsia="Times New Roman" w:hAnsi="Arial Black" w:cs="Times New Roman"/>
          <w:b/>
          <w:bCs/>
          <w:color w:val="FF0000"/>
          <w:spacing w:val="5"/>
          <w:sz w:val="33"/>
          <w:szCs w:val="40"/>
          <w:u w:val="single"/>
          <w:lang w:bidi="pa-IN"/>
        </w:rPr>
      </w:pPr>
      <w:r w:rsidRPr="000543E3">
        <w:rPr>
          <w:rFonts w:ascii="Arial Black" w:eastAsia="Times New Roman" w:hAnsi="Arial Black" w:cs="Times New Roman"/>
          <w:b/>
          <w:bCs/>
          <w:color w:val="FF0000"/>
          <w:spacing w:val="5"/>
          <w:sz w:val="33"/>
          <w:szCs w:val="40"/>
          <w:u w:val="single"/>
          <w:lang w:bidi="pa-IN"/>
        </w:rPr>
        <w:t>Ans2:</w:t>
      </w:r>
    </w:p>
    <w:p w:rsidR="0096615E" w:rsidRDefault="0096615E">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435D23" w:rsidRPr="000543E3" w:rsidRDefault="0091554A">
      <w:pPr>
        <w:shd w:val="clear" w:color="auto" w:fill="FFFFFF"/>
        <w:spacing w:before="120" w:after="120" w:line="384" w:lineRule="atLeast"/>
        <w:rPr>
          <w:rFonts w:ascii="Aharoni" w:eastAsia="Times New Roman" w:hAnsi="Aharoni" w:cs="Times New Roman" w:hint="cs"/>
          <w:b/>
          <w:bCs/>
          <w:color w:val="444444"/>
          <w:spacing w:val="5"/>
          <w:sz w:val="25"/>
          <w:szCs w:val="24"/>
          <w:lang w:bidi="pa-IN"/>
        </w:rPr>
      </w:pPr>
      <w:r w:rsidRPr="000543E3">
        <w:rPr>
          <w:rFonts w:ascii="Aharoni" w:eastAsia="Times New Roman" w:hAnsi="Aharoni" w:cs="Times New Roman" w:hint="cs"/>
          <w:b/>
          <w:bCs/>
          <w:noProof/>
          <w:color w:val="444444"/>
          <w:spacing w:val="5"/>
          <w:sz w:val="25"/>
          <w:szCs w:val="24"/>
          <w:lang w:bidi="pa-IN"/>
        </w:rPr>
        <w:pict>
          <v:shapetype id="_x0000_t32" coordsize="21600,21600" o:spt="32" o:oned="t" path="m,l21600,21600e" filled="f">
            <v:path arrowok="t" fillok="f" o:connecttype="none"/>
            <o:lock v:ext="edit" shapetype="t"/>
          </v:shapetype>
          <v:shape id="_x0000_s1028" type="#_x0000_t32" style="position:absolute;margin-left:91.5pt;margin-top:23.85pt;width:0;height:335.25pt;z-index:251663360" o:connectortype="straight"/>
        </w:pict>
      </w:r>
      <w:r w:rsidRPr="000543E3">
        <w:rPr>
          <w:rFonts w:ascii="Aharoni" w:eastAsia="Times New Roman" w:hAnsi="Aharoni" w:cs="Times New Roman" w:hint="cs"/>
          <w:b/>
          <w:bCs/>
          <w:noProof/>
          <w:color w:val="444444"/>
          <w:spacing w:val="5"/>
          <w:sz w:val="25"/>
          <w:szCs w:val="24"/>
          <w:lang w:bidi="pa-IN"/>
        </w:rPr>
        <w:pict>
          <v:shape id="_x0000_s1026" type="#_x0000_t32" style="position:absolute;margin-left:389.25pt;margin-top:23.85pt;width:0;height:330pt;z-index:251661312" o:connectortype="straight"/>
        </w:pict>
      </w:r>
      <w:r w:rsidR="00435D23" w:rsidRPr="000543E3">
        <w:rPr>
          <w:rFonts w:ascii="Aharoni" w:eastAsia="Times New Roman" w:hAnsi="Aharoni" w:cs="Times New Roman" w:hint="cs"/>
          <w:b/>
          <w:bCs/>
          <w:color w:val="444444"/>
          <w:spacing w:val="5"/>
          <w:sz w:val="25"/>
          <w:szCs w:val="24"/>
          <w:lang w:bidi="pa-IN"/>
        </w:rPr>
        <w:t>Solution:</w:t>
      </w:r>
    </w:p>
    <w:tbl>
      <w:tblPr>
        <w:tblW w:w="9640" w:type="dxa"/>
        <w:tblInd w:w="93" w:type="dxa"/>
        <w:tblLook w:val="04A0"/>
      </w:tblPr>
      <w:tblGrid>
        <w:gridCol w:w="960"/>
        <w:gridCol w:w="960"/>
        <w:gridCol w:w="3600"/>
        <w:gridCol w:w="2200"/>
        <w:gridCol w:w="960"/>
        <w:gridCol w:w="960"/>
      </w:tblGrid>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Pr>
                <w:rFonts w:eastAsia="Times New Roman" w:cs="Calibri"/>
                <w:noProof/>
                <w:color w:val="000000"/>
                <w:sz w:val="22"/>
                <w:szCs w:val="22"/>
                <w:lang w:bidi="pa-IN"/>
              </w:rPr>
              <w:pict>
                <v:shape id="_x0000_s1027" type="#_x0000_t32" style="position:absolute;margin-left:-32.4pt;margin-top:12.4pt;width:495.75pt;height:0;z-index:251662336" o:connectortype="straight"/>
              </w:pict>
            </w:r>
            <w:proofErr w:type="spellStart"/>
            <w:r w:rsidRPr="0091554A">
              <w:rPr>
                <w:rFonts w:eastAsia="Times New Roman" w:cs="Calibri"/>
                <w:color w:val="000000"/>
                <w:sz w:val="22"/>
                <w:szCs w:val="22"/>
                <w:lang w:bidi="pa-IN"/>
              </w:rPr>
              <w:t>Sr.Num</w:t>
            </w:r>
            <w:proofErr w:type="spellEnd"/>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Date</w: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Account title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center"/>
              <w:rPr>
                <w:rFonts w:eastAsia="Times New Roman" w:cs="Calibri"/>
                <w:color w:val="000000"/>
                <w:sz w:val="22"/>
                <w:szCs w:val="22"/>
                <w:lang w:bidi="pa-IN"/>
              </w:rPr>
            </w:pPr>
            <w:r>
              <w:rPr>
                <w:rFonts w:eastAsia="Times New Roman" w:cs="Calibri"/>
                <w:color w:val="000000"/>
                <w:sz w:val="22"/>
                <w:szCs w:val="22"/>
                <w:lang w:bidi="pa-IN"/>
              </w:rPr>
              <w:t xml:space="preserve">                          </w:t>
            </w:r>
            <w:r w:rsidRPr="0091554A">
              <w:rPr>
                <w:rFonts w:eastAsia="Times New Roman" w:cs="Calibri"/>
                <w:color w:val="000000"/>
                <w:sz w:val="22"/>
                <w:szCs w:val="22"/>
                <w:lang w:bidi="pa-IN"/>
              </w:rPr>
              <w:t>Dr</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center"/>
              <w:rPr>
                <w:rFonts w:eastAsia="Times New Roman" w:cs="Calibri"/>
                <w:color w:val="000000"/>
                <w:sz w:val="22"/>
                <w:szCs w:val="22"/>
                <w:lang w:bidi="pa-IN"/>
              </w:rPr>
            </w:pPr>
            <w:r w:rsidRPr="0091554A">
              <w:rPr>
                <w:rFonts w:eastAsia="Times New Roman" w:cs="Calibri"/>
                <w:color w:val="000000"/>
                <w:sz w:val="22"/>
                <w:szCs w:val="22"/>
                <w:lang w:bidi="pa-IN"/>
              </w:rPr>
              <w:t>Cr</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1 (a)</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31-Dec</w: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Bad Debt Expense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2900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Accounts Receivable—Willie’s</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2900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Pr>
                <w:rFonts w:eastAsia="Times New Roman" w:cs="Calibri"/>
                <w:noProof/>
                <w:color w:val="000000"/>
                <w:sz w:val="22"/>
                <w:szCs w:val="22"/>
                <w:lang w:bidi="pa-IN"/>
              </w:rPr>
              <w:pict>
                <v:shape id="_x0000_s1029" type="#_x0000_t32" style="position:absolute;margin-left:-25.65pt;margin-top:8.4pt;width:495pt;height:0;z-index:251664384;mso-position-horizontal-relative:text;mso-position-vertical-relative:text" o:connectortype="straight"/>
              </w:pic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 (1)</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31-Dec</w: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Bad Debt Expense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17400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[($1,800,000 2 $60,000) 3 1%]</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Allowance for Doubtful Accounts</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17400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Pr>
                <w:rFonts w:eastAsia="Times New Roman" w:cs="Calibri"/>
                <w:noProof/>
                <w:color w:val="000000"/>
                <w:sz w:val="22"/>
                <w:szCs w:val="22"/>
                <w:lang w:bidi="pa-IN"/>
              </w:rPr>
              <w:pict>
                <v:shape id="_x0000_s1030" type="#_x0000_t32" style="position:absolute;margin-left:38.1pt;margin-top:9.65pt;width:387pt;height:.05pt;z-index:251665408;mso-position-horizontal-relative:text;mso-position-vertical-relative:text" o:connectortype="straight"/>
              </w:pic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 xml:space="preserve">b (2) </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Bad Debt Expense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13700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Allowance for Doubtful</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Accounts [($180,000 3 10%) 2 $4,300]</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13700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Pr>
                <w:rFonts w:eastAsia="Times New Roman" w:cs="Calibri"/>
                <w:noProof/>
                <w:color w:val="000000"/>
                <w:sz w:val="22"/>
                <w:szCs w:val="22"/>
                <w:lang w:bidi="pa-IN"/>
              </w:rPr>
              <w:pict>
                <v:shape id="_x0000_s1031" type="#_x0000_t32" style="position:absolute;margin-left:-11.4pt;margin-top:4.05pt;width:480.75pt;height:0;z-index:251666432;mso-position-horizontal-relative:text;mso-position-vertical-relative:text" o:connectortype="straight"/>
              </w:pic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C (1)</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31-Dec</w: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Bad Debt Expense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13,050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[($1,800,000 2 $60,000) 3 0.75%]</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Allowance for Doubtful Accounts</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13,050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Pr>
                <w:rFonts w:eastAsia="Times New Roman" w:cs="Calibri"/>
                <w:noProof/>
                <w:color w:val="000000"/>
                <w:sz w:val="22"/>
                <w:szCs w:val="22"/>
                <w:lang w:bidi="pa-IN"/>
              </w:rPr>
              <w:pict>
                <v:shape id="_x0000_s1032" type="#_x0000_t32" style="position:absolute;margin-left:-2.4pt;margin-top:-1.75pt;width:367.5pt;height:0;z-index:251667456;mso-position-horizontal-relative:text;mso-position-vertical-relative:text" o:connectortype="straight"/>
              </w:pic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C (2)</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31-Dec</w:t>
            </w: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Bad Debt Expense</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11,210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Allowance for Doubtful</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r w:rsidRPr="0091554A">
              <w:rPr>
                <w:rFonts w:eastAsia="Times New Roman" w:cs="Calibri"/>
                <w:color w:val="000000"/>
                <w:sz w:val="22"/>
                <w:szCs w:val="22"/>
                <w:lang w:bidi="pa-IN"/>
              </w:rPr>
              <w:t>Accounts [($180,000 3 6%) 1 $410]</w:t>
            </w: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jc w:val="right"/>
              <w:rPr>
                <w:rFonts w:eastAsia="Times New Roman" w:cs="Calibri"/>
                <w:color w:val="000000"/>
                <w:sz w:val="22"/>
                <w:szCs w:val="22"/>
                <w:lang w:bidi="pa-IN"/>
              </w:rPr>
            </w:pPr>
            <w:r w:rsidRPr="0091554A">
              <w:rPr>
                <w:rFonts w:eastAsia="Times New Roman" w:cs="Calibri"/>
                <w:color w:val="000000"/>
                <w:sz w:val="22"/>
                <w:szCs w:val="22"/>
                <w:lang w:bidi="pa-IN"/>
              </w:rPr>
              <w:t>11,210</w:t>
            </w: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r w:rsidR="0091554A" w:rsidRPr="0091554A" w:rsidTr="0091554A">
        <w:trPr>
          <w:trHeight w:val="300"/>
        </w:trPr>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36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220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c>
          <w:tcPr>
            <w:tcW w:w="960" w:type="dxa"/>
            <w:tcBorders>
              <w:top w:val="nil"/>
              <w:left w:val="nil"/>
              <w:bottom w:val="nil"/>
              <w:right w:val="nil"/>
            </w:tcBorders>
            <w:shd w:val="clear" w:color="auto" w:fill="auto"/>
            <w:noWrap/>
            <w:vAlign w:val="bottom"/>
            <w:hideMark/>
          </w:tcPr>
          <w:p w:rsidR="0091554A" w:rsidRPr="0091554A" w:rsidRDefault="0091554A" w:rsidP="0091554A">
            <w:pPr>
              <w:rPr>
                <w:rFonts w:eastAsia="Times New Roman" w:cs="Calibri"/>
                <w:color w:val="000000"/>
                <w:sz w:val="22"/>
                <w:szCs w:val="22"/>
                <w:lang w:bidi="pa-IN"/>
              </w:rPr>
            </w:pPr>
          </w:p>
        </w:tc>
      </w:tr>
    </w:tbl>
    <w:p w:rsidR="002B1A6B" w:rsidRDefault="002B1A6B">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2B1A6B" w:rsidRDefault="002B1A6B">
      <w:pPr>
        <w:spacing w:after="200" w:line="276" w:lineRule="auto"/>
        <w:rPr>
          <w:rFonts w:ascii="proxima-nova" w:eastAsia="Times New Roman" w:hAnsi="proxima-nova" w:cs="Times New Roman"/>
          <w:b/>
          <w:bCs/>
          <w:color w:val="444444"/>
          <w:spacing w:val="5"/>
          <w:sz w:val="23"/>
          <w:szCs w:val="23"/>
          <w:lang w:bidi="pa-IN"/>
        </w:rPr>
      </w:pPr>
      <w:r>
        <w:rPr>
          <w:rFonts w:ascii="proxima-nova" w:eastAsia="Times New Roman" w:hAnsi="proxima-nova" w:cs="Times New Roman"/>
          <w:b/>
          <w:bCs/>
          <w:color w:val="444444"/>
          <w:spacing w:val="5"/>
          <w:sz w:val="23"/>
          <w:szCs w:val="23"/>
          <w:lang w:bidi="pa-IN"/>
        </w:rPr>
        <w:br w:type="page"/>
      </w:r>
    </w:p>
    <w:p w:rsidR="00435D23" w:rsidRPr="000543E3" w:rsidRDefault="002B1A6B">
      <w:pPr>
        <w:shd w:val="clear" w:color="auto" w:fill="FFFFFF"/>
        <w:spacing w:before="120" w:after="120" w:line="384" w:lineRule="atLeast"/>
        <w:rPr>
          <w:rFonts w:ascii="Aharoni" w:eastAsia="Times New Roman" w:hAnsi="Aharoni" w:cs="Times New Roman" w:hint="cs"/>
          <w:b/>
          <w:bCs/>
          <w:color w:val="444444"/>
          <w:spacing w:val="5"/>
          <w:sz w:val="40"/>
          <w:szCs w:val="40"/>
          <w:u w:val="single"/>
          <w:lang w:bidi="pa-IN"/>
        </w:rPr>
      </w:pPr>
      <w:r w:rsidRPr="000543E3">
        <w:rPr>
          <w:rFonts w:ascii="Aharoni" w:eastAsia="Times New Roman" w:hAnsi="Aharoni" w:cs="Times New Roman" w:hint="cs"/>
          <w:b/>
          <w:bCs/>
          <w:color w:val="444444"/>
          <w:spacing w:val="5"/>
          <w:sz w:val="40"/>
          <w:szCs w:val="40"/>
          <w:u w:val="single"/>
          <w:lang w:bidi="pa-IN"/>
        </w:rPr>
        <w:lastRenderedPageBreak/>
        <w:t>Ans 3:</w:t>
      </w:r>
    </w:p>
    <w:p w:rsidR="002B1A6B" w:rsidRDefault="002B1A6B">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p>
    <w:p w:rsidR="002B1A6B" w:rsidRPr="002B1A6B" w:rsidRDefault="002B1A6B" w:rsidP="002B1A6B">
      <w:pPr>
        <w:shd w:val="clear" w:color="auto" w:fill="FFFFFF"/>
        <w:spacing w:before="100" w:beforeAutospacing="1" w:after="100" w:afterAutospacing="1"/>
        <w:outlineLvl w:val="0"/>
        <w:rPr>
          <w:rFonts w:ascii="Arial" w:eastAsia="Times New Roman" w:hAnsi="Arial"/>
          <w:b/>
          <w:bCs/>
          <w:color w:val="111111"/>
          <w:kern w:val="36"/>
          <w:sz w:val="48"/>
          <w:szCs w:val="48"/>
          <w:u w:val="single"/>
          <w:lang w:bidi="pa-IN"/>
        </w:rPr>
      </w:pPr>
      <w:r w:rsidRPr="002B1A6B">
        <w:rPr>
          <w:rFonts w:ascii="Arial" w:eastAsia="Times New Roman" w:hAnsi="Arial"/>
          <w:b/>
          <w:bCs/>
          <w:color w:val="111111"/>
          <w:kern w:val="36"/>
          <w:sz w:val="48"/>
          <w:szCs w:val="48"/>
          <w:u w:val="single"/>
          <w:lang w:bidi="pa-IN"/>
        </w:rPr>
        <w:t>Accounting Equation</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accounting equation is considered to be the foundation of the </w:t>
      </w:r>
      <w:hyperlink r:id="rId28" w:history="1">
        <w:r>
          <w:rPr>
            <w:rStyle w:val="Hyperlink"/>
            <w:rFonts w:ascii="Arial" w:hAnsi="Arial" w:cs="Arial"/>
            <w:color w:val="2C40D0"/>
            <w:sz w:val="26"/>
            <w:szCs w:val="26"/>
          </w:rPr>
          <w:t>double-entry</w:t>
        </w:r>
      </w:hyperlink>
      <w:r>
        <w:rPr>
          <w:rFonts w:ascii="Arial" w:hAnsi="Arial" w:cs="Arial"/>
          <w:color w:val="111111"/>
          <w:sz w:val="26"/>
          <w:szCs w:val="26"/>
        </w:rPr>
        <w:t> accounting system. The accounting equation shows on a company's </w:t>
      </w:r>
      <w:hyperlink r:id="rId29" w:history="1">
        <w:r>
          <w:rPr>
            <w:rStyle w:val="Hyperlink"/>
            <w:rFonts w:ascii="Arial" w:hAnsi="Arial" w:cs="Arial"/>
            <w:color w:val="2C40D0"/>
            <w:sz w:val="26"/>
            <w:szCs w:val="26"/>
          </w:rPr>
          <w:t>balance sheet</w:t>
        </w:r>
      </w:hyperlink>
      <w:r>
        <w:rPr>
          <w:rFonts w:ascii="Arial" w:hAnsi="Arial" w:cs="Arial"/>
          <w:color w:val="111111"/>
          <w:sz w:val="26"/>
          <w:szCs w:val="26"/>
        </w:rPr>
        <w:t> whereby the total of all the company's assets equals the sum of the company's </w:t>
      </w:r>
      <w:hyperlink r:id="rId30" w:history="1">
        <w:r>
          <w:rPr>
            <w:rStyle w:val="Hyperlink"/>
            <w:rFonts w:ascii="Arial" w:hAnsi="Arial" w:cs="Arial"/>
            <w:color w:val="2C40D0"/>
            <w:sz w:val="26"/>
            <w:szCs w:val="26"/>
          </w:rPr>
          <w:t>liabilities</w:t>
        </w:r>
      </w:hyperlink>
      <w:r>
        <w:rPr>
          <w:rFonts w:ascii="Arial" w:hAnsi="Arial" w:cs="Arial"/>
          <w:color w:val="111111"/>
          <w:sz w:val="26"/>
          <w:szCs w:val="26"/>
        </w:rPr>
        <w:t> and shareholders' equity.</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Based on this double-entry system, the accounting equation ensures that the balance sheet remains “balanced,” and each entry made on the debit side should have a corresponding entry (or coverage) on the credit side.</w:t>
      </w:r>
    </w:p>
    <w:p w:rsidR="002B1A6B" w:rsidRPr="002B1A6B" w:rsidRDefault="002B1A6B" w:rsidP="002B1A6B">
      <w:pPr>
        <w:pStyle w:val="Heading2"/>
        <w:shd w:val="clear" w:color="auto" w:fill="FFFFFF"/>
        <w:spacing w:before="0"/>
        <w:rPr>
          <w:rFonts w:ascii="Arial" w:hAnsi="Arial" w:cs="Arial"/>
          <w:color w:val="111111"/>
          <w:sz w:val="28"/>
          <w:szCs w:val="28"/>
          <w:u w:val="single"/>
        </w:rPr>
      </w:pPr>
      <w:r w:rsidRPr="002B1A6B">
        <w:rPr>
          <w:rStyle w:val="mntl-sc-block-headingtext"/>
          <w:rFonts w:ascii="Arial" w:hAnsi="Arial" w:cs="Arial"/>
          <w:color w:val="111111"/>
          <w:sz w:val="28"/>
          <w:szCs w:val="28"/>
          <w:u w:val="single"/>
        </w:rPr>
        <w:t>Accounting Equation Formula</w:t>
      </w:r>
    </w:p>
    <w:p w:rsidR="002B1A6B" w:rsidRDefault="002B1A6B">
      <w:pPr>
        <w:shd w:val="clear" w:color="auto" w:fill="FFFFFF"/>
        <w:spacing w:before="120" w:after="120" w:line="384" w:lineRule="atLeast"/>
        <w:rPr>
          <w:rStyle w:val="mclose"/>
          <w:color w:val="111111"/>
          <w:sz w:val="32"/>
          <w:szCs w:val="32"/>
          <w:shd w:val="clear" w:color="auto" w:fill="FFFFFF"/>
        </w:rPr>
      </w:pPr>
      <w:r>
        <w:rPr>
          <w:rStyle w:val="mord"/>
          <w:color w:val="111111"/>
          <w:sz w:val="32"/>
          <w:szCs w:val="32"/>
          <w:shd w:val="clear" w:color="auto" w:fill="FFFFFF"/>
        </w:rPr>
        <w:t>Assets</w:t>
      </w:r>
      <w:r>
        <w:rPr>
          <w:rStyle w:val="mrel"/>
          <w:color w:val="111111"/>
          <w:sz w:val="32"/>
          <w:szCs w:val="32"/>
          <w:shd w:val="clear" w:color="auto" w:fill="FFFFFF"/>
        </w:rPr>
        <w:t xml:space="preserve">= </w:t>
      </w:r>
      <w:r>
        <w:rPr>
          <w:rStyle w:val="mopen"/>
          <w:color w:val="111111"/>
          <w:sz w:val="32"/>
          <w:szCs w:val="32"/>
          <w:shd w:val="clear" w:color="auto" w:fill="FFFFFF"/>
        </w:rPr>
        <w:t>(</w:t>
      </w:r>
      <w:r>
        <w:rPr>
          <w:rStyle w:val="mord"/>
          <w:color w:val="111111"/>
          <w:sz w:val="32"/>
          <w:szCs w:val="32"/>
          <w:shd w:val="clear" w:color="auto" w:fill="FFFFFF"/>
        </w:rPr>
        <w:t xml:space="preserve">Liabilities </w:t>
      </w:r>
      <w:r>
        <w:rPr>
          <w:rStyle w:val="mbin"/>
          <w:color w:val="111111"/>
          <w:sz w:val="32"/>
          <w:szCs w:val="32"/>
          <w:shd w:val="clear" w:color="auto" w:fill="FFFFFF"/>
        </w:rPr>
        <w:t xml:space="preserve">+ </w:t>
      </w:r>
      <w:r>
        <w:rPr>
          <w:rStyle w:val="mord"/>
          <w:color w:val="111111"/>
          <w:sz w:val="32"/>
          <w:szCs w:val="32"/>
          <w:shd w:val="clear" w:color="auto" w:fill="FFFFFF"/>
        </w:rPr>
        <w:t>Owner’s Equity</w:t>
      </w:r>
      <w:r>
        <w:rPr>
          <w:rStyle w:val="mclose"/>
          <w:color w:val="111111"/>
          <w:sz w:val="32"/>
          <w:szCs w:val="32"/>
          <w:shd w:val="clear" w:color="auto" w:fill="FFFFFF"/>
        </w:rPr>
        <w:t>)</w:t>
      </w:r>
    </w:p>
    <w:p w:rsidR="00127478" w:rsidRDefault="00127478" w:rsidP="00127478">
      <w:pPr>
        <w:pStyle w:val="NormalWeb"/>
        <w:shd w:val="clear" w:color="auto" w:fill="FFFFFF"/>
        <w:textAlignment w:val="baseline"/>
        <w:rPr>
          <w:rFonts w:ascii="proxima-nova" w:hAnsi="proxima-nova"/>
          <w:color w:val="373D3F"/>
        </w:rPr>
      </w:pPr>
      <w:r>
        <w:rPr>
          <w:rFonts w:ascii="proxima-nova" w:hAnsi="proxima-nova"/>
          <w:color w:val="373D3F"/>
        </w:rPr>
        <w:t>For Example:</w:t>
      </w:r>
    </w:p>
    <w:p w:rsidR="00127478" w:rsidRDefault="00127478" w:rsidP="00127478">
      <w:pPr>
        <w:pStyle w:val="NormalWeb"/>
        <w:shd w:val="clear" w:color="auto" w:fill="FFFFFF"/>
        <w:textAlignment w:val="baseline"/>
        <w:rPr>
          <w:rFonts w:ascii="proxima-nova" w:hAnsi="proxima-nova"/>
          <w:color w:val="373D3F"/>
        </w:rPr>
      </w:pPr>
      <w:r>
        <w:rPr>
          <w:rFonts w:ascii="proxima-nova" w:hAnsi="proxima-nova"/>
          <w:color w:val="373D3F"/>
        </w:rPr>
        <w:t>A sole proprietorship business owes $12,000 and you, the owner personally invested $100,000 of your own cash into the business. The assets owned by the business will then be calculated as:</w:t>
      </w:r>
    </w:p>
    <w:p w:rsidR="00127478" w:rsidRDefault="00127478" w:rsidP="00127478">
      <w:pPr>
        <w:pStyle w:val="NormalWeb"/>
        <w:shd w:val="clear" w:color="auto" w:fill="FFFFFF"/>
        <w:textAlignment w:val="baseline"/>
        <w:rPr>
          <w:rFonts w:ascii="proxima-nova" w:hAnsi="proxima-nova"/>
          <w:color w:val="373D3F"/>
        </w:rPr>
      </w:pPr>
      <w:r>
        <w:rPr>
          <w:rFonts w:ascii="proxima-nova" w:hAnsi="proxima-nova"/>
          <w:color w:val="373D3F"/>
        </w:rPr>
        <w:t>$12,000 (what it owes) + $100,000 (what you invested) = $112,000 (what the company has in assets)</w:t>
      </w:r>
    </w:p>
    <w:p w:rsidR="00127478" w:rsidRDefault="00127478">
      <w:pPr>
        <w:shd w:val="clear" w:color="auto" w:fill="FFFFFF"/>
        <w:spacing w:before="120" w:after="120" w:line="384" w:lineRule="atLeast"/>
        <w:rPr>
          <w:rStyle w:val="mclose"/>
          <w:color w:val="111111"/>
          <w:sz w:val="32"/>
          <w:szCs w:val="32"/>
          <w:shd w:val="clear" w:color="auto" w:fill="FFFFFF"/>
        </w:rPr>
      </w:pPr>
    </w:p>
    <w:p w:rsidR="002B1A6B" w:rsidRDefault="002B1A6B">
      <w:pPr>
        <w:shd w:val="clear" w:color="auto" w:fill="FFFFFF"/>
        <w:spacing w:before="120" w:after="120" w:line="384" w:lineRule="atLeast"/>
        <w:rPr>
          <w:rStyle w:val="mclose"/>
          <w:color w:val="111111"/>
          <w:sz w:val="32"/>
          <w:szCs w:val="32"/>
          <w:shd w:val="clear" w:color="auto" w:fill="FFFFFF"/>
        </w:rPr>
      </w:pPr>
    </w:p>
    <w:p w:rsidR="002B1A6B" w:rsidRDefault="002B1A6B">
      <w:pPr>
        <w:shd w:val="clear" w:color="auto" w:fill="FFFFFF"/>
        <w:spacing w:before="120" w:after="120" w:line="384" w:lineRule="atLeast"/>
        <w:rPr>
          <w:rStyle w:val="mclose"/>
          <w:color w:val="111111"/>
          <w:sz w:val="32"/>
          <w:szCs w:val="32"/>
          <w:shd w:val="clear" w:color="auto" w:fill="FFFFFF"/>
        </w:rPr>
      </w:pPr>
    </w:p>
    <w:p w:rsidR="002B1A6B" w:rsidRPr="002B1A6B" w:rsidRDefault="002B1A6B" w:rsidP="002B1A6B">
      <w:pPr>
        <w:pStyle w:val="Heading3"/>
        <w:shd w:val="clear" w:color="auto" w:fill="FFFFFF"/>
        <w:spacing w:before="0"/>
        <w:rPr>
          <w:rFonts w:ascii="Arial" w:hAnsi="Arial" w:cs="Arial"/>
          <w:color w:val="111111"/>
          <w:sz w:val="32"/>
          <w:szCs w:val="32"/>
        </w:rPr>
      </w:pPr>
      <w:r w:rsidRPr="002B1A6B">
        <w:rPr>
          <w:rStyle w:val="mntl-sc-block-subheadingtext"/>
          <w:rFonts w:ascii="Arial" w:hAnsi="Arial" w:cs="Arial"/>
          <w:color w:val="111111"/>
          <w:sz w:val="32"/>
          <w:szCs w:val="32"/>
        </w:rPr>
        <w:t>Assets</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Assets include </w:t>
      </w:r>
      <w:hyperlink r:id="rId31" w:history="1">
        <w:r>
          <w:rPr>
            <w:rStyle w:val="Hyperlink"/>
            <w:rFonts w:ascii="Arial" w:hAnsi="Arial" w:cs="Arial"/>
            <w:color w:val="2C40D0"/>
            <w:sz w:val="26"/>
            <w:szCs w:val="26"/>
          </w:rPr>
          <w:t>cash and cash equivalents</w:t>
        </w:r>
      </w:hyperlink>
      <w:r>
        <w:rPr>
          <w:rFonts w:ascii="Arial" w:hAnsi="Arial" w:cs="Arial"/>
          <w:color w:val="111111"/>
          <w:sz w:val="26"/>
          <w:szCs w:val="26"/>
        </w:rPr>
        <w:t> or liquid assets, which may include Treasury bills and certificates of deposit. </w:t>
      </w:r>
      <w:hyperlink r:id="rId32" w:history="1">
        <w:r>
          <w:rPr>
            <w:rStyle w:val="Hyperlink"/>
            <w:rFonts w:ascii="Arial" w:hAnsi="Arial" w:cs="Arial"/>
            <w:color w:val="2C40D0"/>
            <w:sz w:val="26"/>
            <w:szCs w:val="26"/>
          </w:rPr>
          <w:t>Accounts receivables</w:t>
        </w:r>
      </w:hyperlink>
      <w:r>
        <w:rPr>
          <w:rFonts w:ascii="Arial" w:hAnsi="Arial" w:cs="Arial"/>
          <w:color w:val="111111"/>
          <w:sz w:val="26"/>
          <w:szCs w:val="26"/>
        </w:rPr>
        <w:t> are the amount of money owed to the company by its customers for the sale of its product and service. Inventory is also considered an asset.</w:t>
      </w:r>
    </w:p>
    <w:p w:rsidR="002B1A6B" w:rsidRDefault="002B1A6B" w:rsidP="002B1A6B">
      <w:pPr>
        <w:pStyle w:val="comp"/>
        <w:shd w:val="clear" w:color="auto" w:fill="FFFFFF"/>
        <w:spacing w:before="0" w:beforeAutospacing="0"/>
        <w:rPr>
          <w:rFonts w:ascii="Arial" w:hAnsi="Arial" w:cs="Arial"/>
          <w:color w:val="111111"/>
          <w:sz w:val="26"/>
          <w:szCs w:val="26"/>
        </w:rPr>
      </w:pPr>
    </w:p>
    <w:p w:rsidR="002B1A6B" w:rsidRDefault="002B1A6B" w:rsidP="002B1A6B">
      <w:pPr>
        <w:pStyle w:val="comp"/>
        <w:shd w:val="clear" w:color="auto" w:fill="FFFFFF"/>
        <w:spacing w:before="0" w:beforeAutospacing="0"/>
        <w:rPr>
          <w:rFonts w:ascii="Arial" w:hAnsi="Arial" w:cs="Arial"/>
          <w:color w:val="111111"/>
          <w:sz w:val="26"/>
          <w:szCs w:val="26"/>
        </w:rPr>
      </w:pPr>
      <w:hyperlink r:id="rId33" w:history="1">
        <w:r>
          <w:rPr>
            <w:rStyle w:val="Hyperlink"/>
            <w:rFonts w:ascii="Arial" w:hAnsi="Arial" w:cs="Arial"/>
            <w:color w:val="2C40D0"/>
            <w:sz w:val="26"/>
            <w:szCs w:val="26"/>
          </w:rPr>
          <w:t>Liabilities</w:t>
        </w:r>
      </w:hyperlink>
      <w:r>
        <w:rPr>
          <w:rFonts w:ascii="Arial" w:hAnsi="Arial" w:cs="Arial"/>
          <w:color w:val="111111"/>
          <w:sz w:val="26"/>
          <w:szCs w:val="26"/>
        </w:rPr>
        <w:t xml:space="preserve"> are what a company typically owes or needs to pay to keep the company running. </w:t>
      </w:r>
      <w:proofErr w:type="gramStart"/>
      <w:r>
        <w:rPr>
          <w:rFonts w:ascii="Arial" w:hAnsi="Arial" w:cs="Arial"/>
          <w:color w:val="111111"/>
          <w:sz w:val="26"/>
          <w:szCs w:val="26"/>
        </w:rPr>
        <w:t>Debt including long-term debt are</w:t>
      </w:r>
      <w:proofErr w:type="gramEnd"/>
      <w:r>
        <w:rPr>
          <w:rFonts w:ascii="Arial" w:hAnsi="Arial" w:cs="Arial"/>
          <w:color w:val="111111"/>
          <w:sz w:val="26"/>
          <w:szCs w:val="26"/>
        </w:rPr>
        <w:t xml:space="preserve"> liabilities as well as rent, taxes, utilities, salaries, and wages as well as </w:t>
      </w:r>
      <w:hyperlink r:id="rId34" w:history="1">
        <w:r>
          <w:rPr>
            <w:rStyle w:val="Hyperlink"/>
            <w:rFonts w:ascii="Arial" w:hAnsi="Arial" w:cs="Arial"/>
            <w:color w:val="2C40D0"/>
            <w:sz w:val="26"/>
            <w:szCs w:val="26"/>
          </w:rPr>
          <w:t>dividends</w:t>
        </w:r>
      </w:hyperlink>
      <w:r>
        <w:rPr>
          <w:rFonts w:ascii="Arial" w:hAnsi="Arial" w:cs="Arial"/>
          <w:color w:val="111111"/>
          <w:sz w:val="26"/>
          <w:szCs w:val="26"/>
        </w:rPr>
        <w:t> payable.</w:t>
      </w:r>
    </w:p>
    <w:p w:rsidR="002B1A6B" w:rsidRDefault="002B1A6B" w:rsidP="002B1A6B">
      <w:pPr>
        <w:pStyle w:val="comp"/>
        <w:shd w:val="clear" w:color="auto" w:fill="FFFFFF"/>
        <w:spacing w:before="0" w:beforeAutospacing="0"/>
        <w:rPr>
          <w:rFonts w:ascii="Arial" w:hAnsi="Arial" w:cs="Arial"/>
          <w:color w:val="111111"/>
          <w:sz w:val="26"/>
          <w:szCs w:val="26"/>
          <w:shd w:val="clear" w:color="auto" w:fill="FFFFFF"/>
        </w:rPr>
      </w:pPr>
      <w:hyperlink r:id="rId35" w:history="1">
        <w:r>
          <w:rPr>
            <w:rStyle w:val="Hyperlink"/>
            <w:rFonts w:ascii="Arial" w:hAnsi="Arial" w:cs="Arial"/>
            <w:color w:val="2C40D0"/>
            <w:sz w:val="26"/>
            <w:szCs w:val="26"/>
            <w:shd w:val="clear" w:color="auto" w:fill="FFFFFF"/>
          </w:rPr>
          <w:t>Shareholders' equity</w:t>
        </w:r>
      </w:hyperlink>
      <w:r>
        <w:rPr>
          <w:rFonts w:ascii="Arial" w:hAnsi="Arial" w:cs="Arial"/>
          <w:color w:val="111111"/>
          <w:sz w:val="26"/>
          <w:szCs w:val="26"/>
          <w:shd w:val="clear" w:color="auto" w:fill="FFFFFF"/>
        </w:rPr>
        <w:t> is a company's total assets minus its total liabilities. Shareholders' equity represents the amount of money that would be returned to </w:t>
      </w:r>
      <w:hyperlink r:id="rId36" w:history="1">
        <w:r>
          <w:rPr>
            <w:rStyle w:val="Hyperlink"/>
            <w:rFonts w:ascii="Arial" w:hAnsi="Arial" w:cs="Arial"/>
            <w:color w:val="2C40D0"/>
            <w:sz w:val="26"/>
            <w:szCs w:val="26"/>
            <w:shd w:val="clear" w:color="auto" w:fill="FFFFFF"/>
          </w:rPr>
          <w:t>shareholders</w:t>
        </w:r>
      </w:hyperlink>
      <w:r>
        <w:rPr>
          <w:rFonts w:ascii="Arial" w:hAnsi="Arial" w:cs="Arial"/>
          <w:color w:val="111111"/>
          <w:sz w:val="26"/>
          <w:szCs w:val="26"/>
          <w:shd w:val="clear" w:color="auto" w:fill="FFFFFF"/>
        </w:rPr>
        <w:t> if all of the assets were liquidated and all of the company's debt was paid off.</w:t>
      </w:r>
    </w:p>
    <w:p w:rsidR="002B1A6B" w:rsidRDefault="002B1A6B" w:rsidP="002B1A6B">
      <w:pPr>
        <w:pStyle w:val="comp"/>
        <w:shd w:val="clear" w:color="auto" w:fill="FFFFFF"/>
        <w:spacing w:before="0" w:beforeAutospacing="0"/>
        <w:rPr>
          <w:rFonts w:ascii="Arial" w:hAnsi="Arial" w:cs="Arial"/>
          <w:color w:val="111111"/>
          <w:sz w:val="26"/>
          <w:szCs w:val="26"/>
          <w:shd w:val="clear" w:color="auto" w:fill="FFFFFF"/>
        </w:rPr>
      </w:pPr>
    </w:p>
    <w:p w:rsidR="002B1A6B" w:rsidRDefault="002B1A6B" w:rsidP="002B1A6B">
      <w:pPr>
        <w:pStyle w:val="comp"/>
        <w:shd w:val="clear" w:color="auto" w:fill="FFFFFF"/>
        <w:spacing w:before="0" w:beforeAutospacing="0"/>
        <w:rPr>
          <w:rFonts w:ascii="Arial" w:hAnsi="Arial" w:cs="Arial"/>
          <w:color w:val="111111"/>
          <w:sz w:val="26"/>
          <w:szCs w:val="26"/>
          <w:shd w:val="clear" w:color="auto" w:fill="FFFFFF"/>
        </w:rPr>
      </w:pPr>
      <w:hyperlink r:id="rId37" w:history="1">
        <w:r>
          <w:rPr>
            <w:rStyle w:val="Hyperlink"/>
            <w:rFonts w:ascii="Arial" w:hAnsi="Arial" w:cs="Arial"/>
            <w:color w:val="2333A6"/>
            <w:sz w:val="26"/>
            <w:szCs w:val="26"/>
            <w:shd w:val="clear" w:color="auto" w:fill="FFFFFF"/>
          </w:rPr>
          <w:t>Retained earnings</w:t>
        </w:r>
      </w:hyperlink>
      <w:r>
        <w:rPr>
          <w:rFonts w:ascii="Arial" w:hAnsi="Arial" w:cs="Arial"/>
          <w:color w:val="111111"/>
          <w:sz w:val="26"/>
          <w:szCs w:val="26"/>
          <w:shd w:val="clear" w:color="auto" w:fill="FFFFFF"/>
        </w:rPr>
        <w:t> are part of shareholders' equity and are equal to the percentage of net earnings that were not paid to shareholders as dividends. Think of retained earnings as savings since it represents a cumulative total of profits that have been saved and put aside or retained for future use.</w:t>
      </w:r>
    </w:p>
    <w:p w:rsidR="002B1A6B" w:rsidRDefault="002B1A6B" w:rsidP="002B1A6B">
      <w:pPr>
        <w:pStyle w:val="comp"/>
        <w:shd w:val="clear" w:color="auto" w:fill="FFFFFF"/>
        <w:spacing w:before="0" w:beforeAutospacing="0"/>
        <w:rPr>
          <w:rFonts w:ascii="Arial" w:hAnsi="Arial" w:cs="Arial"/>
          <w:color w:val="111111"/>
          <w:sz w:val="26"/>
          <w:szCs w:val="26"/>
          <w:shd w:val="clear" w:color="auto" w:fill="FFFFFF"/>
        </w:rPr>
      </w:pPr>
    </w:p>
    <w:p w:rsidR="002B1A6B" w:rsidRPr="002B1A6B" w:rsidRDefault="002B1A6B" w:rsidP="002B1A6B">
      <w:pPr>
        <w:pStyle w:val="Heading2"/>
        <w:shd w:val="clear" w:color="auto" w:fill="FFFFFF"/>
        <w:spacing w:before="0"/>
        <w:rPr>
          <w:rFonts w:ascii="Arial" w:hAnsi="Arial" w:cs="Arial"/>
          <w:color w:val="111111"/>
          <w:sz w:val="28"/>
          <w:szCs w:val="28"/>
        </w:rPr>
      </w:pPr>
      <w:r w:rsidRPr="002B1A6B">
        <w:rPr>
          <w:rStyle w:val="mntl-sc-block-headingtext"/>
          <w:rFonts w:ascii="Arial" w:hAnsi="Arial" w:cs="Arial"/>
          <w:color w:val="111111"/>
          <w:sz w:val="28"/>
          <w:szCs w:val="28"/>
        </w:rPr>
        <w:t>The Double-Entry System</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accounting equation forms the foundation of the double-entry accounting and is a concise representation of a concept that expands into the complex, </w:t>
      </w:r>
      <w:hyperlink r:id="rId38" w:history="1">
        <w:r>
          <w:rPr>
            <w:rStyle w:val="Hyperlink"/>
            <w:rFonts w:ascii="Arial" w:hAnsi="Arial" w:cs="Arial"/>
            <w:color w:val="2C40D0"/>
            <w:sz w:val="26"/>
            <w:szCs w:val="26"/>
          </w:rPr>
          <w:t>expanded</w:t>
        </w:r>
      </w:hyperlink>
      <w:r>
        <w:rPr>
          <w:rFonts w:ascii="Arial" w:hAnsi="Arial" w:cs="Arial"/>
          <w:color w:val="111111"/>
          <w:sz w:val="26"/>
          <w:szCs w:val="26"/>
        </w:rPr>
        <w:t>, and multi-item display of a </w:t>
      </w:r>
      <w:hyperlink r:id="rId39" w:history="1">
        <w:r>
          <w:rPr>
            <w:rStyle w:val="Hyperlink"/>
            <w:rFonts w:ascii="Arial" w:hAnsi="Arial" w:cs="Arial"/>
            <w:color w:val="2C40D0"/>
            <w:sz w:val="26"/>
            <w:szCs w:val="26"/>
          </w:rPr>
          <w:t>balance sheet</w:t>
        </w:r>
      </w:hyperlink>
      <w:r>
        <w:rPr>
          <w:rFonts w:ascii="Arial" w:hAnsi="Arial" w:cs="Arial"/>
          <w:color w:val="111111"/>
          <w:sz w:val="26"/>
          <w:szCs w:val="26"/>
        </w:rPr>
        <w:t>. The balance sheet is based on the double-entry accounting system where total assets of a company are equal to the total of liabilities and shareholder equity.</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shd w:val="clear" w:color="auto" w:fill="FFFFFF"/>
        </w:rPr>
        <w:t>Essentially, the representation equates all uses of capital (assets) to all sources of capital, where debt capital leads to liabilities and equity capital leads to shareholders' equity.</w:t>
      </w:r>
    </w:p>
    <w:p w:rsidR="002B1A6B" w:rsidRDefault="002B1A6B" w:rsidP="002B1A6B">
      <w:pPr>
        <w:pStyle w:val="comp"/>
        <w:shd w:val="clear" w:color="auto" w:fill="FFFFFF"/>
        <w:spacing w:before="0" w:beforeAutospacing="0"/>
        <w:rPr>
          <w:rFonts w:ascii="Arial" w:hAnsi="Arial" w:cs="Arial"/>
          <w:color w:val="111111"/>
          <w:sz w:val="26"/>
          <w:szCs w:val="26"/>
        </w:rPr>
      </w:pPr>
    </w:p>
    <w:p w:rsidR="002B1A6B" w:rsidRPr="002B1A6B" w:rsidRDefault="002B1A6B" w:rsidP="002B1A6B">
      <w:pPr>
        <w:pStyle w:val="Heading2"/>
        <w:shd w:val="clear" w:color="auto" w:fill="FFFFFF"/>
        <w:spacing w:before="0"/>
        <w:rPr>
          <w:rFonts w:ascii="Arial" w:hAnsi="Arial" w:cs="Arial"/>
          <w:color w:val="111111"/>
          <w:sz w:val="28"/>
          <w:szCs w:val="28"/>
        </w:rPr>
      </w:pPr>
      <w:r w:rsidRPr="002B1A6B">
        <w:rPr>
          <w:rStyle w:val="mntl-sc-block-headingtext"/>
          <w:rFonts w:ascii="Arial" w:hAnsi="Arial" w:cs="Arial"/>
          <w:color w:val="111111"/>
          <w:sz w:val="28"/>
          <w:szCs w:val="28"/>
        </w:rPr>
        <w:t>Cash Flow vs. Balance Sheet</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w:t>
      </w:r>
      <w:hyperlink r:id="rId40" w:history="1">
        <w:r>
          <w:rPr>
            <w:rStyle w:val="Hyperlink"/>
            <w:rFonts w:ascii="Arial" w:hAnsi="Arial" w:cs="Arial"/>
            <w:color w:val="2C40D0"/>
            <w:sz w:val="26"/>
            <w:szCs w:val="26"/>
          </w:rPr>
          <w:t>cash flow statement</w:t>
        </w:r>
      </w:hyperlink>
      <w:r>
        <w:rPr>
          <w:rFonts w:ascii="Arial" w:hAnsi="Arial" w:cs="Arial"/>
          <w:color w:val="111111"/>
          <w:sz w:val="26"/>
          <w:szCs w:val="26"/>
        </w:rPr>
        <w:t> shows the amount of cash and cash equivalents entering and leaving a company. The cash flow statement (CFS) measures how well a company manages and generates cash to pay its debt obligations and fund operating expenses.</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 balance sheet is a summary of the financial balances of a company, while a cash flow statement shows how the changes in the balance sheet accounts and income on the </w:t>
      </w:r>
      <w:hyperlink r:id="rId41" w:history="1">
        <w:r>
          <w:rPr>
            <w:rStyle w:val="Hyperlink"/>
            <w:rFonts w:ascii="Arial" w:hAnsi="Arial" w:cs="Arial"/>
            <w:color w:val="2C40D0"/>
            <w:sz w:val="26"/>
            <w:szCs w:val="26"/>
          </w:rPr>
          <w:t>income statement</w:t>
        </w:r>
      </w:hyperlink>
      <w:r>
        <w:rPr>
          <w:rFonts w:ascii="Arial" w:hAnsi="Arial" w:cs="Arial"/>
          <w:color w:val="111111"/>
          <w:sz w:val="26"/>
          <w:szCs w:val="26"/>
        </w:rPr>
        <w:t> affect a company's </w:t>
      </w:r>
      <w:hyperlink r:id="rId42" w:history="1">
        <w:r>
          <w:rPr>
            <w:rStyle w:val="Hyperlink"/>
            <w:rFonts w:ascii="Arial" w:hAnsi="Arial" w:cs="Arial"/>
            <w:color w:val="2C40D0"/>
            <w:sz w:val="26"/>
            <w:szCs w:val="26"/>
          </w:rPr>
          <w:t>cash position</w:t>
        </w:r>
      </w:hyperlink>
      <w:r>
        <w:rPr>
          <w:rFonts w:ascii="Arial" w:hAnsi="Arial" w:cs="Arial"/>
          <w:color w:val="111111"/>
          <w:sz w:val="26"/>
          <w:szCs w:val="26"/>
        </w:rPr>
        <w:t>. In essence, a company's cash flow statement measures the flow of cash in and out of a business, while a company's balance sheet measures its assets, liabilities, and owners' equity.</w:t>
      </w:r>
    </w:p>
    <w:p w:rsidR="002B1A6B" w:rsidRPr="002B1A6B" w:rsidRDefault="002B1A6B" w:rsidP="002B1A6B">
      <w:pPr>
        <w:pStyle w:val="Heading2"/>
        <w:shd w:val="clear" w:color="auto" w:fill="FFFFFF"/>
        <w:spacing w:before="0"/>
        <w:rPr>
          <w:rFonts w:ascii="Arial" w:hAnsi="Arial" w:cs="Arial"/>
          <w:color w:val="111111"/>
          <w:sz w:val="28"/>
          <w:szCs w:val="28"/>
        </w:rPr>
      </w:pPr>
      <w:r w:rsidRPr="002B1A6B">
        <w:rPr>
          <w:rStyle w:val="mntl-sc-block-headingtext"/>
          <w:rFonts w:ascii="Arial" w:hAnsi="Arial" w:cs="Arial"/>
          <w:color w:val="111111"/>
          <w:sz w:val="28"/>
          <w:szCs w:val="28"/>
        </w:rPr>
        <w:lastRenderedPageBreak/>
        <w:t>Limits of the Accounting Equation</w:t>
      </w:r>
    </w:p>
    <w:p w:rsidR="002B1A6B" w:rsidRDefault="002B1A6B" w:rsidP="002B1A6B">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Although the balance sheet always balances out, the accounting equation doesn't provide investors as to how well a company is performing. Instead, investors must interpret the numbers and decide for themselves whether the company has too many or too few liabilities, not enough assets or perhaps too many assets, or is financing the company properly to ensure long term growth.</w:t>
      </w:r>
    </w:p>
    <w:p w:rsidR="002B1A6B" w:rsidRDefault="002B1A6B" w:rsidP="002B1A6B">
      <w:pPr>
        <w:pStyle w:val="comp"/>
        <w:shd w:val="clear" w:color="auto" w:fill="FFFFFF"/>
        <w:spacing w:before="0" w:beforeAutospacing="0"/>
        <w:rPr>
          <w:rFonts w:ascii="Arial" w:hAnsi="Arial" w:cs="Arial"/>
          <w:color w:val="111111"/>
          <w:sz w:val="26"/>
          <w:szCs w:val="26"/>
        </w:rPr>
      </w:pPr>
    </w:p>
    <w:p w:rsidR="002B1A6B" w:rsidRDefault="002B1A6B" w:rsidP="002B1A6B">
      <w:pPr>
        <w:pStyle w:val="comp"/>
        <w:shd w:val="clear" w:color="auto" w:fill="FFFFFF"/>
        <w:spacing w:before="0" w:beforeAutospacing="0"/>
        <w:rPr>
          <w:rFonts w:ascii="Arial" w:hAnsi="Arial" w:cs="Arial"/>
          <w:color w:val="111111"/>
          <w:sz w:val="26"/>
          <w:szCs w:val="26"/>
        </w:rPr>
      </w:pPr>
    </w:p>
    <w:p w:rsidR="002B1A6B" w:rsidRPr="002B1A6B" w:rsidRDefault="002B1A6B" w:rsidP="002B1A6B">
      <w:pPr>
        <w:pStyle w:val="Heading2"/>
        <w:shd w:val="clear" w:color="auto" w:fill="FFFFFF"/>
        <w:spacing w:before="0"/>
        <w:rPr>
          <w:rFonts w:ascii="Arial" w:hAnsi="Arial" w:cs="Arial"/>
          <w:color w:val="111111"/>
          <w:sz w:val="28"/>
          <w:szCs w:val="28"/>
        </w:rPr>
      </w:pPr>
      <w:r w:rsidRPr="002B1A6B">
        <w:rPr>
          <w:rStyle w:val="mntl-sc-block-headingtext"/>
          <w:rFonts w:ascii="Arial" w:hAnsi="Arial" w:cs="Arial"/>
          <w:color w:val="111111"/>
          <w:sz w:val="28"/>
          <w:szCs w:val="28"/>
        </w:rPr>
        <w:t>Real-World Example</w:t>
      </w:r>
    </w:p>
    <w:p w:rsidR="00A6302E" w:rsidRDefault="00A6302E" w:rsidP="002B1A6B">
      <w:pPr>
        <w:pStyle w:val="comp"/>
        <w:shd w:val="clear" w:color="auto" w:fill="FFFFFF"/>
        <w:spacing w:before="0" w:beforeAutospacing="0"/>
        <w:rPr>
          <w:rFonts w:ascii="Segoe UI" w:hAnsi="Segoe UI" w:cs="Segoe UI"/>
          <w:color w:val="57595D"/>
          <w:sz w:val="27"/>
          <w:szCs w:val="27"/>
          <w:shd w:val="clear" w:color="auto" w:fill="F8F9FA"/>
        </w:rPr>
      </w:pPr>
      <w:r>
        <w:rPr>
          <w:rFonts w:ascii="Segoe UI" w:hAnsi="Segoe UI" w:cs="Segoe UI"/>
          <w:color w:val="57595D"/>
          <w:sz w:val="27"/>
          <w:szCs w:val="27"/>
          <w:shd w:val="clear" w:color="auto" w:fill="F8F9FA"/>
        </w:rPr>
        <w:t>For every transaction, both sides of this equation must have an equal net effect. Below are some examples of transactions and how they affect the accounting equation.</w:t>
      </w:r>
    </w:p>
    <w:p w:rsidR="00A6302E" w:rsidRDefault="00A6302E" w:rsidP="00A6302E">
      <w:pPr>
        <w:pStyle w:val="Heading4"/>
        <w:shd w:val="clear" w:color="auto" w:fill="F8F9FA"/>
        <w:rPr>
          <w:rFonts w:ascii="Segoe UI" w:hAnsi="Segoe UI" w:cs="Segoe UI"/>
          <w:color w:val="132E57"/>
        </w:rPr>
      </w:pPr>
      <w:r>
        <w:rPr>
          <w:rFonts w:ascii="Segoe UI" w:hAnsi="Segoe UI" w:cs="Segoe UI"/>
          <w:color w:val="132E57"/>
        </w:rPr>
        <w:t>1. Purchasing a Machine with Cash</w:t>
      </w:r>
    </w:p>
    <w:p w:rsidR="00A6302E" w:rsidRDefault="00A6302E" w:rsidP="00A6302E">
      <w:pPr>
        <w:pStyle w:val="NormalWeb"/>
        <w:shd w:val="clear" w:color="auto" w:fill="F8F9FA"/>
        <w:rPr>
          <w:rFonts w:ascii="Segoe UI" w:hAnsi="Segoe UI" w:cs="Segoe UI"/>
          <w:color w:val="57595D"/>
          <w:sz w:val="27"/>
          <w:szCs w:val="27"/>
        </w:rPr>
      </w:pPr>
      <w:r>
        <w:rPr>
          <w:rFonts w:ascii="Segoe UI" w:hAnsi="Segoe UI" w:cs="Segoe UI"/>
          <w:color w:val="57595D"/>
          <w:sz w:val="27"/>
          <w:szCs w:val="27"/>
        </w:rPr>
        <w:t>Company XYZ wishes to purchase a $500 machine using only cash. This transaction would result in a credit to Equipment (+$500) and a debit to Cash (-$500). The net effect on the accounting equation would be as follows:</w:t>
      </w:r>
    </w:p>
    <w:p w:rsidR="00A6302E" w:rsidRDefault="00A6302E" w:rsidP="002B1A6B">
      <w:pPr>
        <w:pStyle w:val="comp"/>
        <w:shd w:val="clear" w:color="auto" w:fill="FFFFFF"/>
        <w:spacing w:before="0" w:beforeAutospacing="0"/>
        <w:rPr>
          <w:rFonts w:ascii="Arial" w:hAnsi="Arial" w:cs="Arial"/>
          <w:color w:val="111111"/>
          <w:sz w:val="26"/>
          <w:szCs w:val="26"/>
        </w:rPr>
      </w:pPr>
      <w:r>
        <w:rPr>
          <w:rFonts w:ascii="Arial" w:hAnsi="Arial" w:cs="Arial"/>
          <w:noProof/>
          <w:color w:val="111111"/>
          <w:sz w:val="26"/>
          <w:szCs w:val="26"/>
        </w:rPr>
        <w:drawing>
          <wp:inline distT="0" distB="0" distL="0" distR="0">
            <wp:extent cx="5943600" cy="1019175"/>
            <wp:effectExtent l="19050" t="0" r="0" b="0"/>
            <wp:docPr id="3" name="Picture 2"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43"/>
                    <a:stretch>
                      <a:fillRect/>
                    </a:stretch>
                  </pic:blipFill>
                  <pic:spPr>
                    <a:xfrm>
                      <a:off x="0" y="0"/>
                      <a:ext cx="5943600" cy="1019175"/>
                    </a:xfrm>
                    <a:prstGeom prst="rect">
                      <a:avLst/>
                    </a:prstGeom>
                  </pic:spPr>
                </pic:pic>
              </a:graphicData>
            </a:graphic>
          </wp:inline>
        </w:drawing>
      </w:r>
    </w:p>
    <w:p w:rsidR="002B1A6B" w:rsidRDefault="00EC7A87" w:rsidP="002B1A6B">
      <w:pPr>
        <w:pStyle w:val="comp"/>
        <w:shd w:val="clear" w:color="auto" w:fill="FFFFFF"/>
        <w:spacing w:before="0" w:beforeAutospacing="0"/>
        <w:rPr>
          <w:rFonts w:ascii="Segoe UI" w:hAnsi="Segoe UI" w:cs="Segoe UI"/>
          <w:color w:val="57595D"/>
          <w:sz w:val="27"/>
          <w:szCs w:val="27"/>
          <w:shd w:val="clear" w:color="auto" w:fill="F8F9FA"/>
        </w:rPr>
      </w:pPr>
      <w:r>
        <w:rPr>
          <w:rFonts w:ascii="Segoe UI" w:hAnsi="Segoe UI" w:cs="Segoe UI"/>
          <w:color w:val="57595D"/>
          <w:sz w:val="27"/>
          <w:szCs w:val="27"/>
          <w:shd w:val="clear" w:color="auto" w:fill="F8F9FA"/>
        </w:rPr>
        <w:t>This transaction affects only the assets of the equation; therefore there is no corresponding effect in liabilities or shareholder’s equity on the right side of the equation.</w:t>
      </w:r>
    </w:p>
    <w:p w:rsidR="00EC7A87" w:rsidRDefault="00EC7A87" w:rsidP="00EC7A87">
      <w:pPr>
        <w:pStyle w:val="Heading4"/>
        <w:shd w:val="clear" w:color="auto" w:fill="F8F9FA"/>
        <w:rPr>
          <w:rFonts w:ascii="Segoe UI" w:hAnsi="Segoe UI" w:cs="Segoe UI"/>
          <w:color w:val="132E57"/>
        </w:rPr>
      </w:pPr>
      <w:r>
        <w:rPr>
          <w:rFonts w:ascii="Segoe UI" w:hAnsi="Segoe UI" w:cs="Segoe UI"/>
          <w:color w:val="132E57"/>
        </w:rPr>
        <w:t>2. Purchasing a Machine with Cash and Credit</w:t>
      </w:r>
    </w:p>
    <w:p w:rsidR="00EC7A87" w:rsidRDefault="00EC7A87" w:rsidP="00EC7A87">
      <w:pPr>
        <w:pStyle w:val="NormalWeb"/>
        <w:shd w:val="clear" w:color="auto" w:fill="F8F9FA"/>
        <w:rPr>
          <w:rFonts w:ascii="Segoe UI" w:hAnsi="Segoe UI" w:cs="Segoe UI"/>
          <w:color w:val="57595D"/>
          <w:sz w:val="27"/>
          <w:szCs w:val="27"/>
        </w:rPr>
      </w:pPr>
      <w:r>
        <w:rPr>
          <w:rFonts w:ascii="Segoe UI" w:hAnsi="Segoe UI" w:cs="Segoe UI"/>
          <w:color w:val="57595D"/>
          <w:sz w:val="27"/>
          <w:szCs w:val="27"/>
        </w:rPr>
        <w:t>Company XYZ wishes to purchase a $500 machine but it only has $250 of cash in its holdings. The company is allowed to purchase this machine with an initial payment of $250 but it owes the manufacturer the remaining amount. This would result in a credit to Equipment (+$500), a credit to Accounts Payable (+$250) and a debit to Cash (-$250). The net effect on the accounting equation would be as follows:</w:t>
      </w:r>
    </w:p>
    <w:p w:rsidR="00EC7A87" w:rsidRDefault="00EC7A87" w:rsidP="002B1A6B">
      <w:pPr>
        <w:pStyle w:val="comp"/>
        <w:shd w:val="clear" w:color="auto" w:fill="FFFFFF"/>
        <w:spacing w:before="0" w:beforeAutospacing="0"/>
        <w:rPr>
          <w:rFonts w:ascii="Arial" w:hAnsi="Arial" w:cs="Arial"/>
          <w:color w:val="111111"/>
          <w:sz w:val="26"/>
          <w:szCs w:val="26"/>
        </w:rPr>
      </w:pPr>
      <w:r>
        <w:rPr>
          <w:rFonts w:ascii="Arial" w:hAnsi="Arial" w:cs="Arial"/>
          <w:noProof/>
          <w:color w:val="111111"/>
          <w:sz w:val="26"/>
          <w:szCs w:val="26"/>
        </w:rPr>
        <w:lastRenderedPageBreak/>
        <w:drawing>
          <wp:inline distT="0" distB="0" distL="0" distR="0">
            <wp:extent cx="5943600" cy="974725"/>
            <wp:effectExtent l="19050" t="0" r="0" b="0"/>
            <wp:docPr id="4" name="Picture 3" descr="Opera Snapshot_2020-06-24_213005_www.edupristin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ra Snapshot_2020-06-24_213005_www.edupristine.com.png"/>
                    <pic:cNvPicPr/>
                  </pic:nvPicPr>
                  <pic:blipFill>
                    <a:blip r:embed="rId44"/>
                    <a:stretch>
                      <a:fillRect/>
                    </a:stretch>
                  </pic:blipFill>
                  <pic:spPr>
                    <a:xfrm>
                      <a:off x="0" y="0"/>
                      <a:ext cx="5943600" cy="974725"/>
                    </a:xfrm>
                    <a:prstGeom prst="rect">
                      <a:avLst/>
                    </a:prstGeom>
                  </pic:spPr>
                </pic:pic>
              </a:graphicData>
            </a:graphic>
          </wp:inline>
        </w:drawing>
      </w:r>
    </w:p>
    <w:p w:rsidR="002B1A6B" w:rsidRDefault="002B1A6B">
      <w:pPr>
        <w:shd w:val="clear" w:color="auto" w:fill="FFFFFF"/>
        <w:spacing w:before="120" w:after="120" w:line="384" w:lineRule="atLeast"/>
        <w:rPr>
          <w:rFonts w:ascii="Helvetica" w:hAnsi="Helvetica"/>
          <w:color w:val="555555"/>
          <w:sz w:val="21"/>
          <w:szCs w:val="21"/>
          <w:shd w:val="clear" w:color="auto" w:fill="FFFFFF"/>
        </w:rPr>
      </w:pPr>
    </w:p>
    <w:p w:rsidR="002B1A6B" w:rsidRPr="00D73DDB" w:rsidRDefault="00EC7A87">
      <w:pPr>
        <w:shd w:val="clear" w:color="auto" w:fill="FFFFFF"/>
        <w:spacing w:before="120" w:after="120" w:line="384" w:lineRule="atLeast"/>
        <w:rPr>
          <w:rFonts w:ascii="proxima-nova" w:eastAsia="Times New Roman" w:hAnsi="proxima-nova" w:cs="Times New Roman"/>
          <w:b/>
          <w:bCs/>
          <w:color w:val="444444"/>
          <w:spacing w:val="5"/>
          <w:sz w:val="23"/>
          <w:szCs w:val="23"/>
          <w:lang w:bidi="pa-IN"/>
        </w:rPr>
      </w:pPr>
      <w:r>
        <w:rPr>
          <w:rFonts w:ascii="Segoe UI" w:hAnsi="Segoe UI" w:cs="Segoe UI"/>
          <w:color w:val="57595D"/>
          <w:sz w:val="27"/>
          <w:szCs w:val="27"/>
          <w:shd w:val="clear" w:color="auto" w:fill="F8F9FA"/>
        </w:rPr>
        <w:t>This transaction affects both sides of the accounting equation; both the left and right sides of the equation increase by +$250.</w:t>
      </w:r>
    </w:p>
    <w:sectPr w:rsidR="002B1A6B" w:rsidRPr="00D73DDB" w:rsidSect="00615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544E"/>
    <w:multiLevelType w:val="hybridMultilevel"/>
    <w:tmpl w:val="1D1A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727D9"/>
    <w:multiLevelType w:val="hybridMultilevel"/>
    <w:tmpl w:val="EA84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4D29BA"/>
    <w:multiLevelType w:val="multilevel"/>
    <w:tmpl w:val="ED7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BC07C4"/>
    <w:multiLevelType w:val="multilevel"/>
    <w:tmpl w:val="14D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DC0B5B"/>
    <w:multiLevelType w:val="hybridMultilevel"/>
    <w:tmpl w:val="B8F2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4F7E"/>
    <w:rsid w:val="000543E3"/>
    <w:rsid w:val="00127478"/>
    <w:rsid w:val="002B1A6B"/>
    <w:rsid w:val="002C23D2"/>
    <w:rsid w:val="00333BC1"/>
    <w:rsid w:val="00435D23"/>
    <w:rsid w:val="004C0AF4"/>
    <w:rsid w:val="006158A0"/>
    <w:rsid w:val="008B1337"/>
    <w:rsid w:val="0091554A"/>
    <w:rsid w:val="0096615E"/>
    <w:rsid w:val="00A6302E"/>
    <w:rsid w:val="00C5758A"/>
    <w:rsid w:val="00D73DDB"/>
    <w:rsid w:val="00D74F7E"/>
    <w:rsid w:val="00E65784"/>
    <w:rsid w:val="00EC7A87"/>
    <w:rsid w:val="00F243D3"/>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7E"/>
    <w:pPr>
      <w:spacing w:after="0" w:line="240" w:lineRule="auto"/>
    </w:pPr>
    <w:rPr>
      <w:rFonts w:ascii="Calibri" w:eastAsia="Calibri" w:hAnsi="Calibri" w:cs="Arial"/>
      <w:sz w:val="20"/>
      <w:szCs w:val="20"/>
      <w:lang w:bidi="ar-SA"/>
    </w:rPr>
  </w:style>
  <w:style w:type="paragraph" w:styleId="Heading1">
    <w:name w:val="heading 1"/>
    <w:basedOn w:val="Normal"/>
    <w:link w:val="Heading1Char"/>
    <w:uiPriority w:val="9"/>
    <w:qFormat/>
    <w:rsid w:val="00C5758A"/>
    <w:pPr>
      <w:spacing w:before="100" w:beforeAutospacing="1" w:after="100" w:afterAutospacing="1"/>
      <w:outlineLvl w:val="0"/>
    </w:pPr>
    <w:rPr>
      <w:rFonts w:ascii="Times New Roman" w:eastAsia="Times New Roman" w:hAnsi="Times New Roman" w:cs="Times New Roman"/>
      <w:b/>
      <w:bCs/>
      <w:kern w:val="36"/>
      <w:sz w:val="48"/>
      <w:szCs w:val="48"/>
      <w:lang w:bidi="pa-IN"/>
    </w:rPr>
  </w:style>
  <w:style w:type="paragraph" w:styleId="Heading2">
    <w:name w:val="heading 2"/>
    <w:basedOn w:val="Normal"/>
    <w:next w:val="Normal"/>
    <w:link w:val="Heading2Char"/>
    <w:uiPriority w:val="9"/>
    <w:semiHidden/>
    <w:unhideWhenUsed/>
    <w:qFormat/>
    <w:rsid w:val="002B1A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1A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30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58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5758A"/>
    <w:rPr>
      <w:color w:val="0000FF"/>
      <w:u w:val="single"/>
    </w:rPr>
  </w:style>
  <w:style w:type="paragraph" w:styleId="ListParagraph">
    <w:name w:val="List Paragraph"/>
    <w:basedOn w:val="Normal"/>
    <w:uiPriority w:val="34"/>
    <w:qFormat/>
    <w:rsid w:val="00C5758A"/>
    <w:pPr>
      <w:ind w:left="720"/>
      <w:contextualSpacing/>
    </w:pPr>
  </w:style>
  <w:style w:type="character" w:styleId="Emphasis">
    <w:name w:val="Emphasis"/>
    <w:basedOn w:val="DefaultParagraphFont"/>
    <w:uiPriority w:val="20"/>
    <w:qFormat/>
    <w:rsid w:val="00C5758A"/>
    <w:rPr>
      <w:i/>
      <w:iCs/>
    </w:rPr>
  </w:style>
  <w:style w:type="table" w:styleId="TableGrid">
    <w:name w:val="Table Grid"/>
    <w:basedOn w:val="TableNormal"/>
    <w:uiPriority w:val="59"/>
    <w:rsid w:val="00D73D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p">
    <w:name w:val="comp"/>
    <w:basedOn w:val="Normal"/>
    <w:rsid w:val="002B1A6B"/>
    <w:pPr>
      <w:spacing w:before="100" w:beforeAutospacing="1" w:after="100" w:afterAutospacing="1"/>
    </w:pPr>
    <w:rPr>
      <w:rFonts w:ascii="Times New Roman" w:eastAsia="Times New Roman" w:hAnsi="Times New Roman" w:cs="Times New Roman"/>
      <w:sz w:val="24"/>
      <w:szCs w:val="24"/>
      <w:lang w:bidi="pa-IN"/>
    </w:rPr>
  </w:style>
  <w:style w:type="character" w:customStyle="1" w:styleId="Heading2Char">
    <w:name w:val="Heading 2 Char"/>
    <w:basedOn w:val="DefaultParagraphFont"/>
    <w:link w:val="Heading2"/>
    <w:uiPriority w:val="9"/>
    <w:semiHidden/>
    <w:rsid w:val="002B1A6B"/>
    <w:rPr>
      <w:rFonts w:asciiTheme="majorHAnsi" w:eastAsiaTheme="majorEastAsia" w:hAnsiTheme="majorHAnsi" w:cstheme="majorBidi"/>
      <w:b/>
      <w:bCs/>
      <w:color w:val="4F81BD" w:themeColor="accent1"/>
      <w:sz w:val="26"/>
      <w:szCs w:val="26"/>
      <w:lang w:bidi="ar-SA"/>
    </w:rPr>
  </w:style>
  <w:style w:type="character" w:customStyle="1" w:styleId="mntl-sc-block-headingtext">
    <w:name w:val="mntl-sc-block-heading__text"/>
    <w:basedOn w:val="DefaultParagraphFont"/>
    <w:rsid w:val="002B1A6B"/>
  </w:style>
  <w:style w:type="character" w:customStyle="1" w:styleId="mord">
    <w:name w:val="mord"/>
    <w:basedOn w:val="DefaultParagraphFont"/>
    <w:rsid w:val="002B1A6B"/>
  </w:style>
  <w:style w:type="character" w:customStyle="1" w:styleId="mrel">
    <w:name w:val="mrel"/>
    <w:basedOn w:val="DefaultParagraphFont"/>
    <w:rsid w:val="002B1A6B"/>
  </w:style>
  <w:style w:type="character" w:customStyle="1" w:styleId="mopen">
    <w:name w:val="mopen"/>
    <w:basedOn w:val="DefaultParagraphFont"/>
    <w:rsid w:val="002B1A6B"/>
  </w:style>
  <w:style w:type="character" w:customStyle="1" w:styleId="mbin">
    <w:name w:val="mbin"/>
    <w:basedOn w:val="DefaultParagraphFont"/>
    <w:rsid w:val="002B1A6B"/>
  </w:style>
  <w:style w:type="character" w:customStyle="1" w:styleId="mclose">
    <w:name w:val="mclose"/>
    <w:basedOn w:val="DefaultParagraphFont"/>
    <w:rsid w:val="002B1A6B"/>
  </w:style>
  <w:style w:type="character" w:customStyle="1" w:styleId="Heading3Char">
    <w:name w:val="Heading 3 Char"/>
    <w:basedOn w:val="DefaultParagraphFont"/>
    <w:link w:val="Heading3"/>
    <w:uiPriority w:val="9"/>
    <w:semiHidden/>
    <w:rsid w:val="002B1A6B"/>
    <w:rPr>
      <w:rFonts w:asciiTheme="majorHAnsi" w:eastAsiaTheme="majorEastAsia" w:hAnsiTheme="majorHAnsi" w:cstheme="majorBidi"/>
      <w:b/>
      <w:bCs/>
      <w:color w:val="4F81BD" w:themeColor="accent1"/>
      <w:sz w:val="20"/>
      <w:szCs w:val="20"/>
      <w:lang w:bidi="ar-SA"/>
    </w:rPr>
  </w:style>
  <w:style w:type="character" w:customStyle="1" w:styleId="mntl-sc-block-subheadingtext">
    <w:name w:val="mntl-sc-block-subheading__text"/>
    <w:basedOn w:val="DefaultParagraphFont"/>
    <w:rsid w:val="002B1A6B"/>
  </w:style>
  <w:style w:type="character" w:styleId="Strong">
    <w:name w:val="Strong"/>
    <w:basedOn w:val="DefaultParagraphFont"/>
    <w:uiPriority w:val="22"/>
    <w:qFormat/>
    <w:rsid w:val="00A6302E"/>
    <w:rPr>
      <w:b/>
      <w:bCs/>
    </w:rPr>
  </w:style>
  <w:style w:type="paragraph" w:styleId="BalloonText">
    <w:name w:val="Balloon Text"/>
    <w:basedOn w:val="Normal"/>
    <w:link w:val="BalloonTextChar"/>
    <w:uiPriority w:val="99"/>
    <w:semiHidden/>
    <w:unhideWhenUsed/>
    <w:rsid w:val="00A6302E"/>
    <w:rPr>
      <w:rFonts w:ascii="Tahoma" w:hAnsi="Tahoma" w:cs="Tahoma"/>
      <w:sz w:val="16"/>
      <w:szCs w:val="16"/>
    </w:rPr>
  </w:style>
  <w:style w:type="character" w:customStyle="1" w:styleId="BalloonTextChar">
    <w:name w:val="Balloon Text Char"/>
    <w:basedOn w:val="DefaultParagraphFont"/>
    <w:link w:val="BalloonText"/>
    <w:uiPriority w:val="99"/>
    <w:semiHidden/>
    <w:rsid w:val="00A6302E"/>
    <w:rPr>
      <w:rFonts w:ascii="Tahoma" w:eastAsia="Calibri" w:hAnsi="Tahoma" w:cs="Tahoma"/>
      <w:sz w:val="16"/>
      <w:szCs w:val="16"/>
      <w:lang w:bidi="ar-SA"/>
    </w:rPr>
  </w:style>
  <w:style w:type="character" w:customStyle="1" w:styleId="Heading4Char">
    <w:name w:val="Heading 4 Char"/>
    <w:basedOn w:val="DefaultParagraphFont"/>
    <w:link w:val="Heading4"/>
    <w:uiPriority w:val="9"/>
    <w:semiHidden/>
    <w:rsid w:val="00A6302E"/>
    <w:rPr>
      <w:rFonts w:asciiTheme="majorHAnsi" w:eastAsiaTheme="majorEastAsia" w:hAnsiTheme="majorHAnsi" w:cstheme="majorBidi"/>
      <w:b/>
      <w:bCs/>
      <w:i/>
      <w:iCs/>
      <w:color w:val="4F81BD" w:themeColor="accent1"/>
      <w:sz w:val="20"/>
      <w:szCs w:val="20"/>
      <w:lang w:bidi="ar-SA"/>
    </w:rPr>
  </w:style>
  <w:style w:type="paragraph" w:styleId="NormalWeb">
    <w:name w:val="Normal (Web)"/>
    <w:basedOn w:val="Normal"/>
    <w:uiPriority w:val="99"/>
    <w:semiHidden/>
    <w:unhideWhenUsed/>
    <w:rsid w:val="00A6302E"/>
    <w:pPr>
      <w:spacing w:before="100" w:beforeAutospacing="1" w:after="100" w:afterAutospacing="1"/>
    </w:pPr>
    <w:rPr>
      <w:rFonts w:ascii="Times New Roman" w:eastAsia="Times New Roman" w:hAnsi="Times New Roman" w:cs="Times New Roman"/>
      <w:sz w:val="24"/>
      <w:szCs w:val="24"/>
      <w:lang w:bidi="pa-IN"/>
    </w:rPr>
  </w:style>
</w:styles>
</file>

<file path=word/webSettings.xml><?xml version="1.0" encoding="utf-8"?>
<w:webSettings xmlns:r="http://schemas.openxmlformats.org/officeDocument/2006/relationships" xmlns:w="http://schemas.openxmlformats.org/wordprocessingml/2006/main">
  <w:divs>
    <w:div w:id="214702307">
      <w:bodyDiv w:val="1"/>
      <w:marLeft w:val="0"/>
      <w:marRight w:val="0"/>
      <w:marTop w:val="0"/>
      <w:marBottom w:val="0"/>
      <w:divBdr>
        <w:top w:val="none" w:sz="0" w:space="0" w:color="auto"/>
        <w:left w:val="none" w:sz="0" w:space="0" w:color="auto"/>
        <w:bottom w:val="none" w:sz="0" w:space="0" w:color="auto"/>
        <w:right w:val="none" w:sz="0" w:space="0" w:color="auto"/>
      </w:divBdr>
    </w:div>
    <w:div w:id="313603308">
      <w:bodyDiv w:val="1"/>
      <w:marLeft w:val="0"/>
      <w:marRight w:val="0"/>
      <w:marTop w:val="0"/>
      <w:marBottom w:val="0"/>
      <w:divBdr>
        <w:top w:val="none" w:sz="0" w:space="0" w:color="auto"/>
        <w:left w:val="none" w:sz="0" w:space="0" w:color="auto"/>
        <w:bottom w:val="none" w:sz="0" w:space="0" w:color="auto"/>
        <w:right w:val="none" w:sz="0" w:space="0" w:color="auto"/>
      </w:divBdr>
    </w:div>
    <w:div w:id="380442804">
      <w:bodyDiv w:val="1"/>
      <w:marLeft w:val="0"/>
      <w:marRight w:val="0"/>
      <w:marTop w:val="0"/>
      <w:marBottom w:val="0"/>
      <w:divBdr>
        <w:top w:val="none" w:sz="0" w:space="0" w:color="auto"/>
        <w:left w:val="none" w:sz="0" w:space="0" w:color="auto"/>
        <w:bottom w:val="none" w:sz="0" w:space="0" w:color="auto"/>
        <w:right w:val="none" w:sz="0" w:space="0" w:color="auto"/>
      </w:divBdr>
    </w:div>
    <w:div w:id="746731524">
      <w:bodyDiv w:val="1"/>
      <w:marLeft w:val="0"/>
      <w:marRight w:val="0"/>
      <w:marTop w:val="0"/>
      <w:marBottom w:val="0"/>
      <w:divBdr>
        <w:top w:val="none" w:sz="0" w:space="0" w:color="auto"/>
        <w:left w:val="none" w:sz="0" w:space="0" w:color="auto"/>
        <w:bottom w:val="none" w:sz="0" w:space="0" w:color="auto"/>
        <w:right w:val="none" w:sz="0" w:space="0" w:color="auto"/>
      </w:divBdr>
    </w:div>
    <w:div w:id="827941544">
      <w:bodyDiv w:val="1"/>
      <w:marLeft w:val="0"/>
      <w:marRight w:val="0"/>
      <w:marTop w:val="0"/>
      <w:marBottom w:val="0"/>
      <w:divBdr>
        <w:top w:val="none" w:sz="0" w:space="0" w:color="auto"/>
        <w:left w:val="none" w:sz="0" w:space="0" w:color="auto"/>
        <w:bottom w:val="none" w:sz="0" w:space="0" w:color="auto"/>
        <w:right w:val="none" w:sz="0" w:space="0" w:color="auto"/>
      </w:divBdr>
    </w:div>
    <w:div w:id="865218691">
      <w:bodyDiv w:val="1"/>
      <w:marLeft w:val="0"/>
      <w:marRight w:val="0"/>
      <w:marTop w:val="0"/>
      <w:marBottom w:val="0"/>
      <w:divBdr>
        <w:top w:val="none" w:sz="0" w:space="0" w:color="auto"/>
        <w:left w:val="none" w:sz="0" w:space="0" w:color="auto"/>
        <w:bottom w:val="none" w:sz="0" w:space="0" w:color="auto"/>
        <w:right w:val="none" w:sz="0" w:space="0" w:color="auto"/>
      </w:divBdr>
    </w:div>
    <w:div w:id="1050106068">
      <w:bodyDiv w:val="1"/>
      <w:marLeft w:val="0"/>
      <w:marRight w:val="0"/>
      <w:marTop w:val="0"/>
      <w:marBottom w:val="0"/>
      <w:divBdr>
        <w:top w:val="none" w:sz="0" w:space="0" w:color="auto"/>
        <w:left w:val="none" w:sz="0" w:space="0" w:color="auto"/>
        <w:bottom w:val="none" w:sz="0" w:space="0" w:color="auto"/>
        <w:right w:val="none" w:sz="0" w:space="0" w:color="auto"/>
      </w:divBdr>
    </w:div>
    <w:div w:id="1232691765">
      <w:bodyDiv w:val="1"/>
      <w:marLeft w:val="0"/>
      <w:marRight w:val="0"/>
      <w:marTop w:val="0"/>
      <w:marBottom w:val="0"/>
      <w:divBdr>
        <w:top w:val="none" w:sz="0" w:space="0" w:color="auto"/>
        <w:left w:val="none" w:sz="0" w:space="0" w:color="auto"/>
        <w:bottom w:val="none" w:sz="0" w:space="0" w:color="auto"/>
        <w:right w:val="none" w:sz="0" w:space="0" w:color="auto"/>
      </w:divBdr>
    </w:div>
    <w:div w:id="1249998011">
      <w:bodyDiv w:val="1"/>
      <w:marLeft w:val="0"/>
      <w:marRight w:val="0"/>
      <w:marTop w:val="0"/>
      <w:marBottom w:val="0"/>
      <w:divBdr>
        <w:top w:val="none" w:sz="0" w:space="0" w:color="auto"/>
        <w:left w:val="none" w:sz="0" w:space="0" w:color="auto"/>
        <w:bottom w:val="none" w:sz="0" w:space="0" w:color="auto"/>
        <w:right w:val="none" w:sz="0" w:space="0" w:color="auto"/>
      </w:divBdr>
    </w:div>
    <w:div w:id="1375347894">
      <w:bodyDiv w:val="1"/>
      <w:marLeft w:val="0"/>
      <w:marRight w:val="0"/>
      <w:marTop w:val="0"/>
      <w:marBottom w:val="0"/>
      <w:divBdr>
        <w:top w:val="none" w:sz="0" w:space="0" w:color="auto"/>
        <w:left w:val="none" w:sz="0" w:space="0" w:color="auto"/>
        <w:bottom w:val="none" w:sz="0" w:space="0" w:color="auto"/>
        <w:right w:val="none" w:sz="0" w:space="0" w:color="auto"/>
      </w:divBdr>
    </w:div>
    <w:div w:id="1442534387">
      <w:bodyDiv w:val="1"/>
      <w:marLeft w:val="0"/>
      <w:marRight w:val="0"/>
      <w:marTop w:val="0"/>
      <w:marBottom w:val="0"/>
      <w:divBdr>
        <w:top w:val="none" w:sz="0" w:space="0" w:color="auto"/>
        <w:left w:val="none" w:sz="0" w:space="0" w:color="auto"/>
        <w:bottom w:val="none" w:sz="0" w:space="0" w:color="auto"/>
        <w:right w:val="none" w:sz="0" w:space="0" w:color="auto"/>
      </w:divBdr>
    </w:div>
    <w:div w:id="1520319034">
      <w:bodyDiv w:val="1"/>
      <w:marLeft w:val="0"/>
      <w:marRight w:val="0"/>
      <w:marTop w:val="0"/>
      <w:marBottom w:val="0"/>
      <w:divBdr>
        <w:top w:val="none" w:sz="0" w:space="0" w:color="auto"/>
        <w:left w:val="none" w:sz="0" w:space="0" w:color="auto"/>
        <w:bottom w:val="none" w:sz="0" w:space="0" w:color="auto"/>
        <w:right w:val="none" w:sz="0" w:space="0" w:color="auto"/>
      </w:divBdr>
    </w:div>
    <w:div w:id="1536191943">
      <w:bodyDiv w:val="1"/>
      <w:marLeft w:val="0"/>
      <w:marRight w:val="0"/>
      <w:marTop w:val="0"/>
      <w:marBottom w:val="0"/>
      <w:divBdr>
        <w:top w:val="none" w:sz="0" w:space="0" w:color="auto"/>
        <w:left w:val="none" w:sz="0" w:space="0" w:color="auto"/>
        <w:bottom w:val="none" w:sz="0" w:space="0" w:color="auto"/>
        <w:right w:val="none" w:sz="0" w:space="0" w:color="auto"/>
      </w:divBdr>
    </w:div>
    <w:div w:id="1584142478">
      <w:bodyDiv w:val="1"/>
      <w:marLeft w:val="0"/>
      <w:marRight w:val="0"/>
      <w:marTop w:val="0"/>
      <w:marBottom w:val="0"/>
      <w:divBdr>
        <w:top w:val="none" w:sz="0" w:space="0" w:color="auto"/>
        <w:left w:val="none" w:sz="0" w:space="0" w:color="auto"/>
        <w:bottom w:val="none" w:sz="0" w:space="0" w:color="auto"/>
        <w:right w:val="none" w:sz="0" w:space="0" w:color="auto"/>
      </w:divBdr>
    </w:div>
    <w:div w:id="1619986481">
      <w:bodyDiv w:val="1"/>
      <w:marLeft w:val="0"/>
      <w:marRight w:val="0"/>
      <w:marTop w:val="0"/>
      <w:marBottom w:val="0"/>
      <w:divBdr>
        <w:top w:val="none" w:sz="0" w:space="0" w:color="auto"/>
        <w:left w:val="none" w:sz="0" w:space="0" w:color="auto"/>
        <w:bottom w:val="none" w:sz="0" w:space="0" w:color="auto"/>
        <w:right w:val="none" w:sz="0" w:space="0" w:color="auto"/>
      </w:divBdr>
    </w:div>
    <w:div w:id="1914850312">
      <w:bodyDiv w:val="1"/>
      <w:marLeft w:val="0"/>
      <w:marRight w:val="0"/>
      <w:marTop w:val="0"/>
      <w:marBottom w:val="0"/>
      <w:divBdr>
        <w:top w:val="none" w:sz="0" w:space="0" w:color="auto"/>
        <w:left w:val="none" w:sz="0" w:space="0" w:color="auto"/>
        <w:bottom w:val="none" w:sz="0" w:space="0" w:color="auto"/>
        <w:right w:val="none" w:sz="0" w:space="0" w:color="auto"/>
      </w:divBdr>
    </w:div>
    <w:div w:id="1939214709">
      <w:bodyDiv w:val="1"/>
      <w:marLeft w:val="0"/>
      <w:marRight w:val="0"/>
      <w:marTop w:val="0"/>
      <w:marBottom w:val="0"/>
      <w:divBdr>
        <w:top w:val="none" w:sz="0" w:space="0" w:color="auto"/>
        <w:left w:val="none" w:sz="0" w:space="0" w:color="auto"/>
        <w:bottom w:val="none" w:sz="0" w:space="0" w:color="auto"/>
        <w:right w:val="none" w:sz="0" w:space="0" w:color="auto"/>
      </w:divBdr>
    </w:div>
    <w:div w:id="20873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2017/5/4/customer" TargetMode="External"/><Relationship Id="rId13" Type="http://schemas.openxmlformats.org/officeDocument/2006/relationships/hyperlink" Target="https://www.accountingtools.com/articles/what-is-the-direct-write-off-method.html" TargetMode="External"/><Relationship Id="rId18" Type="http://schemas.openxmlformats.org/officeDocument/2006/relationships/hyperlink" Target="https://www.accountingtools.com/articles/2017/5/11/revenue" TargetMode="External"/><Relationship Id="rId26" Type="http://schemas.openxmlformats.org/officeDocument/2006/relationships/image" Target="media/image5.png"/><Relationship Id="rId39" Type="http://schemas.openxmlformats.org/officeDocument/2006/relationships/hyperlink" Target="https://www.investopedia.com/terms/b/balancesheet.asp" TargetMode="External"/><Relationship Id="rId3" Type="http://schemas.openxmlformats.org/officeDocument/2006/relationships/settings" Target="settings.xml"/><Relationship Id="rId21" Type="http://schemas.openxmlformats.org/officeDocument/2006/relationships/hyperlink" Target="https://www.accountingtools.com/articles/2017/5/13/write-off" TargetMode="External"/><Relationship Id="rId34" Type="http://schemas.openxmlformats.org/officeDocument/2006/relationships/hyperlink" Target="https://www.investopedia.com/terms/d/dividend.asp" TargetMode="External"/><Relationship Id="rId42" Type="http://schemas.openxmlformats.org/officeDocument/2006/relationships/hyperlink" Target="https://www.investopedia.com/terms/c/cash_position.asp" TargetMode="External"/><Relationship Id="rId7" Type="http://schemas.openxmlformats.org/officeDocument/2006/relationships/hyperlink" Target="https://www.accountingtools.com/articles/2017/5/11/receivables" TargetMode="External"/><Relationship Id="rId12" Type="http://schemas.openxmlformats.org/officeDocument/2006/relationships/hyperlink" Target="https://www.accountingtools.com/articles/what-is-fraud.html" TargetMode="External"/><Relationship Id="rId17" Type="http://schemas.openxmlformats.org/officeDocument/2006/relationships/hyperlink" Target="https://www.accountingtools.com/articles/what-is-the-allowance-for-doubtful-accounts.html" TargetMode="External"/><Relationship Id="rId25" Type="http://schemas.openxmlformats.org/officeDocument/2006/relationships/image" Target="media/image4.png"/><Relationship Id="rId33" Type="http://schemas.openxmlformats.org/officeDocument/2006/relationships/hyperlink" Target="https://www.investopedia.com/terms/t/total-liabilities.asp" TargetMode="External"/><Relationship Id="rId38" Type="http://schemas.openxmlformats.org/officeDocument/2006/relationships/hyperlink" Target="https://www.investopedia.com/terms/e/expanded-accounting-equation.asp"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ountingtools.com/articles/the-allowance-method.html" TargetMode="External"/><Relationship Id="rId20" Type="http://schemas.openxmlformats.org/officeDocument/2006/relationships/hyperlink" Target="https://www.accountingtools.com/articles/2017/5/14/the-matching-principle" TargetMode="External"/><Relationship Id="rId29" Type="http://schemas.openxmlformats.org/officeDocument/2006/relationships/hyperlink" Target="https://www.investopedia.com/terms/b/balancesheet.asp" TargetMode="External"/><Relationship Id="rId41" Type="http://schemas.openxmlformats.org/officeDocument/2006/relationships/hyperlink" Target="https://www.investopedia.com/terms/i/incomestatement.asp" TargetMode="External"/><Relationship Id="rId1" Type="http://schemas.openxmlformats.org/officeDocument/2006/relationships/numbering" Target="numbering.xml"/><Relationship Id="rId6" Type="http://schemas.openxmlformats.org/officeDocument/2006/relationships/hyperlink" Target="https://www.accountingtools.com/articles/what-is-a-bad-debt.html" TargetMode="External"/><Relationship Id="rId11" Type="http://schemas.openxmlformats.org/officeDocument/2006/relationships/hyperlink" Target="https://www.accountingtools.com/articles/2017/5/6/debt" TargetMode="External"/><Relationship Id="rId24" Type="http://schemas.openxmlformats.org/officeDocument/2006/relationships/image" Target="media/image3.png"/><Relationship Id="rId32" Type="http://schemas.openxmlformats.org/officeDocument/2006/relationships/hyperlink" Target="https://www.investopedia.com/terms/a/accountsreceivable.asp" TargetMode="External"/><Relationship Id="rId37" Type="http://schemas.openxmlformats.org/officeDocument/2006/relationships/hyperlink" Target="https://www.investopedia.com/terms/r/retainedearnings.asp" TargetMode="External"/><Relationship Id="rId40" Type="http://schemas.openxmlformats.org/officeDocument/2006/relationships/hyperlink" Target="https://www.investopedia.com/terms/c/cashflowstatement.asp"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accountingtools.com/articles/2017/5/7/accounts-receivable" TargetMode="External"/><Relationship Id="rId23" Type="http://schemas.openxmlformats.org/officeDocument/2006/relationships/image" Target="media/image2.png"/><Relationship Id="rId28" Type="http://schemas.openxmlformats.org/officeDocument/2006/relationships/hyperlink" Target="https://www.investopedia.com/terms/d/double-entry.asp" TargetMode="External"/><Relationship Id="rId36" Type="http://schemas.openxmlformats.org/officeDocument/2006/relationships/hyperlink" Target="https://www.investopedia.com/terms/s/shareholder.asp" TargetMode="External"/><Relationship Id="rId10" Type="http://schemas.openxmlformats.org/officeDocument/2006/relationships/hyperlink" Target="https://www.accountingtools.com/articles/2017/5/5/credit" TargetMode="External"/><Relationship Id="rId19" Type="http://schemas.openxmlformats.org/officeDocument/2006/relationships/hyperlink" Target="https://www.accountingtools.com/articles/2017/5/6/expense" TargetMode="External"/><Relationship Id="rId31" Type="http://schemas.openxmlformats.org/officeDocument/2006/relationships/hyperlink" Target="https://www.investopedia.com/terms/c/cashandcashequivalents.asp" TargetMode="External"/><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accountingtools.com/articles/2017/5/5/credit" TargetMode="External"/><Relationship Id="rId14" Type="http://schemas.openxmlformats.org/officeDocument/2006/relationships/hyperlink" Target="https://www.accountingtools.com/articles/2017/5/13/write-off" TargetMode="External"/><Relationship Id="rId22" Type="http://schemas.openxmlformats.org/officeDocument/2006/relationships/hyperlink" Target="https://www.accountingtools.com/articles/2017/5/4/cash" TargetMode="External"/><Relationship Id="rId27" Type="http://schemas.openxmlformats.org/officeDocument/2006/relationships/image" Target="media/image6.png"/><Relationship Id="rId30" Type="http://schemas.openxmlformats.org/officeDocument/2006/relationships/hyperlink" Target="https://www.investopedia.com/terms/l/liability.asp" TargetMode="External"/><Relationship Id="rId35" Type="http://schemas.openxmlformats.org/officeDocument/2006/relationships/hyperlink" Target="https://www.investopedia.com/terms/s/shareholdersequity.asp" TargetMode="External"/><Relationship Id="rId43"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AMK Software</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Munir Kohsari</dc:creator>
  <cp:lastModifiedBy>Ahmad Munir Kohsari</cp:lastModifiedBy>
  <cp:revision>11</cp:revision>
  <dcterms:created xsi:type="dcterms:W3CDTF">2020-08-24T10:33:00Z</dcterms:created>
  <dcterms:modified xsi:type="dcterms:W3CDTF">2020-08-24T13:11:00Z</dcterms:modified>
</cp:coreProperties>
</file>