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58" w:rsidRPr="00D248D2" w:rsidRDefault="00A569FF" w:rsidP="00E72506">
      <w:pPr>
        <w:pStyle w:val="Header"/>
        <w:pBdr>
          <w:bottom w:val="single" w:sz="4" w:space="1" w:color="auto"/>
        </w:pBdr>
        <w:rPr>
          <w:rFonts w:asciiTheme="majorHAnsi" w:eastAsia="Arial Unicode MS" w:hAnsiTheme="majorHAnsi" w:cs="Arial Unicode MS"/>
          <w:b/>
          <w:sz w:val="24"/>
          <w:szCs w:val="24"/>
        </w:rPr>
      </w:pPr>
      <w:bookmarkStart w:id="0" w:name="_GoBack"/>
      <w:bookmarkEnd w:id="0"/>
      <w:r w:rsidRPr="00A569FF">
        <w:rPr>
          <w:rFonts w:ascii="Cambria" w:hAnsi="Cambria"/>
          <w:b/>
          <w:bCs/>
          <w:color w:val="000000"/>
          <w:sz w:val="24"/>
        </w:rPr>
        <w:t xml:space="preserve"> </w:t>
      </w:r>
      <w:r>
        <w:rPr>
          <w:rFonts w:ascii="Cambria" w:hAnsi="Cambria"/>
          <w:b/>
          <w:bCs/>
          <w:color w:val="000000"/>
          <w:sz w:val="24"/>
        </w:rPr>
        <w:t xml:space="preserve">Submitted By: M.Qasim Usmani </w:t>
      </w:r>
      <w:r>
        <w:rPr>
          <w:rFonts w:ascii="Cambria" w:hAnsi="Cambria"/>
          <w:b/>
          <w:bCs/>
          <w:color w:val="000000"/>
          <w:sz w:val="24"/>
        </w:rPr>
        <w:tab/>
      </w:r>
      <w:r w:rsidRPr="00156640">
        <w:rPr>
          <w:rFonts w:ascii="Cambria" w:hAnsi="Cambria"/>
          <w:b/>
          <w:bCs/>
          <w:color w:val="000000"/>
          <w:sz w:val="24"/>
        </w:rPr>
        <w:t xml:space="preserve"> MBA-3.5</w:t>
      </w:r>
      <w:r w:rsidRPr="00156640">
        <w:rPr>
          <w:rStyle w:val="apple-tab-span"/>
          <w:rFonts w:ascii="Cambria" w:hAnsi="Cambria"/>
          <w:b/>
          <w:bCs/>
          <w:color w:val="000000"/>
          <w:sz w:val="24"/>
        </w:rPr>
        <w:tab/>
      </w:r>
      <w:r>
        <w:rPr>
          <w:rFonts w:ascii="Cambria" w:hAnsi="Cambria"/>
          <w:b/>
          <w:bCs/>
          <w:color w:val="000000"/>
          <w:sz w:val="24"/>
        </w:rPr>
        <w:br/>
        <w:t xml:space="preserve">Student ID# </w:t>
      </w:r>
      <w:r w:rsidRPr="001D7BE5">
        <w:rPr>
          <w:rFonts w:ascii="Cambria" w:hAnsi="Cambria"/>
          <w:b/>
          <w:bCs/>
          <w:color w:val="000000"/>
          <w:sz w:val="24"/>
        </w:rPr>
        <w:t>15525</w:t>
      </w:r>
      <w:r>
        <w:rPr>
          <w:rFonts w:ascii="Cambria" w:hAnsi="Cambria"/>
          <w:b/>
          <w:bCs/>
          <w:color w:val="000000"/>
          <w:sz w:val="24"/>
        </w:rPr>
        <w:tab/>
      </w:r>
      <w:r w:rsidRPr="00156640">
        <w:rPr>
          <w:rFonts w:ascii="Cambria" w:hAnsi="Cambria"/>
          <w:b/>
          <w:bCs/>
          <w:color w:val="000000"/>
          <w:sz w:val="24"/>
        </w:rPr>
        <w:t>3rd Semester</w:t>
      </w:r>
      <w:r w:rsidRPr="001D7BE5">
        <w:rPr>
          <w:rFonts w:ascii="Cambria" w:hAnsi="Cambria"/>
          <w:b/>
          <w:bCs/>
          <w:noProof/>
          <w:color w:val="000000"/>
          <w:sz w:val="24"/>
        </w:rPr>
        <w:drawing>
          <wp:anchor distT="0" distB="0" distL="114300" distR="114300" simplePos="0" relativeHeight="251661312" behindDoc="0" locked="0" layoutInCell="1" allowOverlap="1">
            <wp:simplePos x="0" y="0"/>
            <wp:positionH relativeFrom="column">
              <wp:posOffset>4876800</wp:posOffset>
            </wp:positionH>
            <wp:positionV relativeFrom="paragraph">
              <wp:posOffset>-214184</wp:posOffset>
            </wp:positionV>
            <wp:extent cx="1202724" cy="1193200"/>
            <wp:effectExtent l="0" t="0" r="0" b="9525"/>
            <wp:wrapNone/>
            <wp:docPr id="3" name="Picture 1" descr="https://lh3.googleusercontent.com/B_4s7buuQSsyfxHHjK1AIDaSMB7wEQcFJ_FxziI8rdbjRwYljOeMVftOTv8sFKiwscvynU3Aye_oFSgGIIPxw2pdME0VnakB2V-E9epoXot_RJpN-O8wfYYk80MVtFd_m9EfGtiIRtI5jtb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_4s7buuQSsyfxHHjK1AIDaSMB7wEQcFJ_FxziI8rdbjRwYljOeMVftOTv8sFKiwscvynU3Aye_oFSgGIIPxw2pdME0VnakB2V-E9epoXot_RJpN-O8wfYYk80MVtFd_m9EfGtiIRtI5jtbrJ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190625"/>
                    </a:xfrm>
                    <a:prstGeom prst="rect">
                      <a:avLst/>
                    </a:prstGeom>
                    <a:noFill/>
                    <a:ln>
                      <a:noFill/>
                    </a:ln>
                  </pic:spPr>
                </pic:pic>
              </a:graphicData>
            </a:graphic>
          </wp:anchor>
        </w:drawing>
      </w:r>
      <w:r w:rsidRPr="00156640">
        <w:rPr>
          <w:rFonts w:ascii="Cambria" w:hAnsi="Cambria"/>
          <w:b/>
          <w:bCs/>
          <w:color w:val="000000"/>
          <w:sz w:val="24"/>
        </w:rPr>
        <w:br/>
        <w:t xml:space="preserve">Submitted To: Dr. </w:t>
      </w:r>
      <w:r w:rsidR="00861EF3">
        <w:rPr>
          <w:rFonts w:ascii="Cambria" w:hAnsi="Cambria"/>
          <w:b/>
          <w:bCs/>
          <w:color w:val="000000"/>
          <w:sz w:val="24"/>
        </w:rPr>
        <w:t>Abid Usman</w:t>
      </w:r>
      <w:r>
        <w:rPr>
          <w:rStyle w:val="apple-tab-span"/>
          <w:rFonts w:ascii="Cambria" w:hAnsi="Cambria"/>
          <w:b/>
          <w:bCs/>
          <w:color w:val="000000"/>
          <w:sz w:val="24"/>
        </w:rPr>
        <w:tab/>
      </w:r>
      <w:r w:rsidRPr="00156640">
        <w:rPr>
          <w:rFonts w:ascii="Cambria" w:hAnsi="Cambria"/>
          <w:b/>
          <w:bCs/>
          <w:color w:val="000000"/>
          <w:sz w:val="24"/>
        </w:rPr>
        <w:t xml:space="preserve">    </w:t>
      </w:r>
      <w:r w:rsidR="00384DE8">
        <w:rPr>
          <w:rFonts w:ascii="Cambria" w:hAnsi="Cambria"/>
          <w:b/>
          <w:bCs/>
          <w:color w:val="000000"/>
          <w:sz w:val="24"/>
        </w:rPr>
        <w:t>Business Finance</w:t>
      </w:r>
      <w:r w:rsidRPr="00156640">
        <w:rPr>
          <w:rStyle w:val="apple-tab-span"/>
          <w:rFonts w:ascii="Cambria" w:hAnsi="Cambria"/>
          <w:b/>
          <w:bCs/>
          <w:color w:val="000000"/>
          <w:sz w:val="24"/>
        </w:rPr>
        <w:tab/>
      </w:r>
      <w:r>
        <w:rPr>
          <w:rFonts w:ascii="Cambria" w:hAnsi="Cambria"/>
          <w:b/>
          <w:bCs/>
          <w:color w:val="000000"/>
          <w:sz w:val="24"/>
        </w:rPr>
        <w:br/>
        <w:t>Date: 16/06</w:t>
      </w:r>
      <w:r w:rsidRPr="00156640">
        <w:rPr>
          <w:rFonts w:ascii="Cambria" w:hAnsi="Cambria"/>
          <w:b/>
          <w:bCs/>
          <w:color w:val="000000"/>
          <w:sz w:val="24"/>
        </w:rPr>
        <w:t>/2020</w:t>
      </w:r>
      <w:r w:rsidR="00A84F58" w:rsidRPr="00D248D2">
        <w:rPr>
          <w:rFonts w:asciiTheme="majorHAnsi" w:eastAsia="Arial Unicode MS" w:hAnsiTheme="majorHAnsi" w:cs="Arial Unicode MS"/>
          <w:b/>
          <w:sz w:val="24"/>
          <w:szCs w:val="24"/>
        </w:rPr>
        <w:br/>
      </w:r>
      <w:r w:rsidR="00A84F58" w:rsidRPr="00D248D2">
        <w:rPr>
          <w:rFonts w:asciiTheme="majorHAnsi" w:eastAsia="Arial Unicode MS" w:hAnsiTheme="majorHAnsi" w:cs="Arial Unicode MS"/>
          <w:b/>
          <w:sz w:val="24"/>
          <w:szCs w:val="24"/>
        </w:rPr>
        <w:br/>
      </w:r>
    </w:p>
    <w:p w:rsidR="00685A02" w:rsidRPr="00D85EE4" w:rsidRDefault="00A84F58" w:rsidP="0045350E">
      <w:pPr>
        <w:rPr>
          <w:sz w:val="18"/>
          <w:szCs w:val="18"/>
        </w:rPr>
      </w:pPr>
      <w:r>
        <w:rPr>
          <w:b/>
          <w:sz w:val="18"/>
          <w:szCs w:val="18"/>
        </w:rPr>
        <w:br/>
      </w:r>
      <w:r>
        <w:rPr>
          <w:b/>
          <w:sz w:val="18"/>
          <w:szCs w:val="18"/>
        </w:rPr>
        <w:br/>
      </w:r>
      <w:r w:rsidR="0054194E" w:rsidRPr="00D85EE4">
        <w:rPr>
          <w:b/>
          <w:sz w:val="18"/>
          <w:szCs w:val="18"/>
        </w:rPr>
        <w:t>Answer No 1:</w:t>
      </w:r>
      <w:r w:rsidR="0054194E" w:rsidRPr="00D85EE4">
        <w:rPr>
          <w:sz w:val="18"/>
          <w:szCs w:val="18"/>
        </w:rPr>
        <w:t xml:space="preserve"> </w:t>
      </w:r>
      <w:r w:rsidR="0054194E" w:rsidRPr="00D85EE4">
        <w:rPr>
          <w:sz w:val="18"/>
          <w:szCs w:val="18"/>
        </w:rPr>
        <w:br/>
        <w:t>The following three important steps which are required for finance manager in each organization are below.</w:t>
      </w:r>
      <w:r w:rsidR="0054194E" w:rsidRPr="00D85EE4">
        <w:rPr>
          <w:sz w:val="18"/>
          <w:szCs w:val="18"/>
        </w:rPr>
        <w:br/>
      </w:r>
      <w:r w:rsidR="0054194E" w:rsidRPr="00D85EE4">
        <w:rPr>
          <w:b/>
          <w:sz w:val="18"/>
          <w:szCs w:val="18"/>
        </w:rPr>
        <w:t>Investment Decision:</w:t>
      </w:r>
      <w:r w:rsidR="009320B0" w:rsidRPr="00D85EE4">
        <w:rPr>
          <w:sz w:val="18"/>
          <w:szCs w:val="18"/>
        </w:rPr>
        <w:br/>
      </w:r>
      <w:r w:rsidR="0054194E" w:rsidRPr="00D85EE4">
        <w:rPr>
          <w:sz w:val="18"/>
          <w:szCs w:val="18"/>
        </w:rPr>
        <w:t xml:space="preserve">Those actions which are taken in any organization for Long Term and for Short Term in the shape of Finance </w:t>
      </w:r>
      <w:r w:rsidR="00F66350" w:rsidRPr="00D85EE4">
        <w:rPr>
          <w:sz w:val="18"/>
          <w:szCs w:val="18"/>
        </w:rPr>
        <w:t>(Budget)</w:t>
      </w:r>
      <w:r w:rsidR="0054194E" w:rsidRPr="00D85EE4">
        <w:rPr>
          <w:sz w:val="18"/>
          <w:szCs w:val="18"/>
        </w:rPr>
        <w:t xml:space="preserve"> are called Investment </w:t>
      </w:r>
      <w:r w:rsidR="00F66350" w:rsidRPr="00D85EE4">
        <w:rPr>
          <w:sz w:val="18"/>
          <w:szCs w:val="18"/>
        </w:rPr>
        <w:t>Decision.</w:t>
      </w:r>
      <w:r w:rsidR="0054194E" w:rsidRPr="00D85EE4">
        <w:rPr>
          <w:sz w:val="18"/>
          <w:szCs w:val="18"/>
        </w:rPr>
        <w:br/>
        <w:t xml:space="preserve">Long term </w:t>
      </w:r>
      <w:r w:rsidR="00F66350" w:rsidRPr="00D85EE4">
        <w:rPr>
          <w:sz w:val="18"/>
          <w:szCs w:val="18"/>
        </w:rPr>
        <w:t>investments called a capital budgeting investment .which involves a huge amou</w:t>
      </w:r>
      <w:r w:rsidR="00734C61" w:rsidRPr="00D85EE4">
        <w:rPr>
          <w:sz w:val="18"/>
          <w:szCs w:val="18"/>
        </w:rPr>
        <w:t>nt of long term investment, and are</w:t>
      </w:r>
      <w:r w:rsidR="00F66350" w:rsidRPr="00D85EE4">
        <w:rPr>
          <w:sz w:val="18"/>
          <w:szCs w:val="18"/>
        </w:rPr>
        <w:t xml:space="preserve"> irreversible except at a huge cost.</w:t>
      </w:r>
      <w:r w:rsidR="00F66350" w:rsidRPr="00D85EE4">
        <w:rPr>
          <w:sz w:val="18"/>
          <w:szCs w:val="18"/>
        </w:rPr>
        <w:br/>
      </w:r>
      <w:r w:rsidR="00734C61" w:rsidRPr="00D85EE4">
        <w:rPr>
          <w:sz w:val="18"/>
          <w:szCs w:val="18"/>
        </w:rPr>
        <w:t>Short</w:t>
      </w:r>
      <w:r w:rsidR="00F66350" w:rsidRPr="00D85EE4">
        <w:rPr>
          <w:sz w:val="18"/>
          <w:szCs w:val="18"/>
        </w:rPr>
        <w:t xml:space="preserve"> term investment decisions are called working capital decisions, which effect day to day working of a </w:t>
      </w:r>
      <w:r w:rsidR="00734C61" w:rsidRPr="00D85EE4">
        <w:rPr>
          <w:sz w:val="18"/>
          <w:szCs w:val="18"/>
        </w:rPr>
        <w:t xml:space="preserve">business. </w:t>
      </w:r>
      <w:r w:rsidR="00F66350" w:rsidRPr="00D85EE4">
        <w:rPr>
          <w:sz w:val="18"/>
          <w:szCs w:val="18"/>
        </w:rPr>
        <w:t xml:space="preserve">It includes the decisions about the levels of cash, inventory and receivables </w:t>
      </w:r>
      <w:r w:rsidR="00F66350" w:rsidRPr="00D85EE4">
        <w:rPr>
          <w:sz w:val="18"/>
          <w:szCs w:val="18"/>
        </w:rPr>
        <w:br/>
      </w:r>
      <w:r w:rsidR="00F66350" w:rsidRPr="00D85EE4">
        <w:rPr>
          <w:b/>
          <w:sz w:val="18"/>
          <w:szCs w:val="18"/>
        </w:rPr>
        <w:t>Financing decision:</w:t>
      </w:r>
      <w:r w:rsidR="009320B0" w:rsidRPr="00D85EE4">
        <w:rPr>
          <w:sz w:val="18"/>
          <w:szCs w:val="18"/>
        </w:rPr>
        <w:br/>
      </w:r>
      <w:r w:rsidR="00F66350" w:rsidRPr="00D85EE4">
        <w:rPr>
          <w:sz w:val="18"/>
          <w:szCs w:val="18"/>
        </w:rPr>
        <w:t xml:space="preserve">A financial decision which is concerned with the amount of finance to be raised from various long term sources of funds like, equity shares, preference </w:t>
      </w:r>
      <w:r w:rsidR="00734C61" w:rsidRPr="00D85EE4">
        <w:rPr>
          <w:sz w:val="18"/>
          <w:szCs w:val="18"/>
        </w:rPr>
        <w:t>shares,</w:t>
      </w:r>
      <w:r w:rsidR="00F66350" w:rsidRPr="00D85EE4">
        <w:rPr>
          <w:sz w:val="18"/>
          <w:szCs w:val="18"/>
        </w:rPr>
        <w:t xml:space="preserve"> </w:t>
      </w:r>
      <w:r w:rsidR="00734C61" w:rsidRPr="00D85EE4">
        <w:rPr>
          <w:sz w:val="18"/>
          <w:szCs w:val="18"/>
        </w:rPr>
        <w:t>debentures,</w:t>
      </w:r>
      <w:r w:rsidR="00F66350" w:rsidRPr="00D85EE4">
        <w:rPr>
          <w:sz w:val="18"/>
          <w:szCs w:val="18"/>
        </w:rPr>
        <w:t xml:space="preserve"> bank loans etc .is called financing decision in others words it is a decision on the capital structure of the </w:t>
      </w:r>
      <w:r w:rsidR="00734C61" w:rsidRPr="00D85EE4">
        <w:rPr>
          <w:sz w:val="18"/>
          <w:szCs w:val="18"/>
        </w:rPr>
        <w:t>company.</w:t>
      </w:r>
    </w:p>
    <w:p w:rsidR="00487491" w:rsidRPr="00D85EE4" w:rsidRDefault="004654E0" w:rsidP="0045350E">
      <w:pPr>
        <w:pStyle w:val="NoSpacing"/>
        <w:rPr>
          <w:sz w:val="18"/>
          <w:szCs w:val="18"/>
        </w:rPr>
      </w:pPr>
      <w:r w:rsidRPr="00D85EE4">
        <w:rPr>
          <w:b/>
          <w:sz w:val="18"/>
          <w:szCs w:val="18"/>
        </w:rPr>
        <w:t>Dividend Decision:</w:t>
      </w:r>
      <w:r w:rsidR="009320B0" w:rsidRPr="00D85EE4">
        <w:rPr>
          <w:sz w:val="18"/>
          <w:szCs w:val="18"/>
        </w:rPr>
        <w:br/>
      </w:r>
      <w:r w:rsidRPr="00D85EE4">
        <w:rPr>
          <w:sz w:val="18"/>
          <w:szCs w:val="18"/>
        </w:rPr>
        <w:t xml:space="preserve">Dividend is a part of profits which available for distribution to equity </w:t>
      </w:r>
      <w:r w:rsidR="00734C61" w:rsidRPr="00D85EE4">
        <w:rPr>
          <w:sz w:val="18"/>
          <w:szCs w:val="18"/>
        </w:rPr>
        <w:t xml:space="preserve">shareholders. </w:t>
      </w:r>
      <w:r w:rsidRPr="00D85EE4">
        <w:rPr>
          <w:sz w:val="18"/>
          <w:szCs w:val="18"/>
        </w:rPr>
        <w:t xml:space="preserve">Payment of dividends should be </w:t>
      </w:r>
      <w:r w:rsidR="00734C61" w:rsidRPr="00D85EE4">
        <w:rPr>
          <w:sz w:val="18"/>
          <w:szCs w:val="18"/>
        </w:rPr>
        <w:t>analyzed</w:t>
      </w:r>
      <w:r w:rsidRPr="00D85EE4">
        <w:rPr>
          <w:sz w:val="18"/>
          <w:szCs w:val="18"/>
        </w:rPr>
        <w:t xml:space="preserve"> in relation to the financial decision of a firm. There are two options available in dealing with the </w:t>
      </w:r>
      <w:r w:rsidR="00734C61" w:rsidRPr="00D85EE4">
        <w:rPr>
          <w:sz w:val="18"/>
          <w:szCs w:val="18"/>
        </w:rPr>
        <w:t>ordinary</w:t>
      </w:r>
      <w:r w:rsidRPr="00D85EE4">
        <w:rPr>
          <w:sz w:val="18"/>
          <w:szCs w:val="18"/>
        </w:rPr>
        <w:t xml:space="preserve"> shareholders where there is no need of retention of earnings or they can be retained in the firm itself if they are required for financing of any business activity.</w:t>
      </w:r>
      <w:r w:rsidR="00734C61" w:rsidRPr="00D85EE4">
        <w:rPr>
          <w:sz w:val="18"/>
          <w:szCs w:val="18"/>
        </w:rPr>
        <w:br/>
      </w:r>
      <w:r w:rsidR="00734C61" w:rsidRPr="00D85EE4">
        <w:rPr>
          <w:sz w:val="18"/>
          <w:szCs w:val="18"/>
        </w:rPr>
        <w:br/>
        <w:t xml:space="preserve">Answer </w:t>
      </w:r>
      <w:r w:rsidR="00170311" w:rsidRPr="00D85EE4">
        <w:rPr>
          <w:sz w:val="18"/>
          <w:szCs w:val="18"/>
        </w:rPr>
        <w:t>2:</w:t>
      </w:r>
      <w:r w:rsidR="0051269C">
        <w:rPr>
          <w:sz w:val="18"/>
          <w:szCs w:val="18"/>
        </w:rPr>
        <w:t xml:space="preserve"> </w:t>
      </w:r>
      <w:r w:rsidR="0051269C" w:rsidRPr="0045350E">
        <w:rPr>
          <w:color w:val="00B050"/>
          <w:sz w:val="18"/>
          <w:szCs w:val="18"/>
        </w:rPr>
        <w:t>(A</w:t>
      </w:r>
      <w:r w:rsidR="00C4668E" w:rsidRPr="0045350E">
        <w:rPr>
          <w:color w:val="00B050"/>
          <w:sz w:val="18"/>
          <w:szCs w:val="18"/>
        </w:rPr>
        <w:t>)</w:t>
      </w:r>
      <w:r w:rsidR="009320B0" w:rsidRPr="00D85EE4">
        <w:rPr>
          <w:sz w:val="18"/>
          <w:szCs w:val="18"/>
        </w:rPr>
        <w:br/>
        <w:t xml:space="preserve"> </w:t>
      </w:r>
      <w:r w:rsidR="00C4668E" w:rsidRPr="00D85EE4">
        <w:rPr>
          <w:sz w:val="18"/>
          <w:szCs w:val="18"/>
        </w:rPr>
        <w:t>The organizational objectives of management refer to the main objectives required to fulfill the economic goals of any business organization.</w:t>
      </w:r>
      <w:r w:rsidR="00C4668E" w:rsidRPr="00D85EE4">
        <w:rPr>
          <w:sz w:val="18"/>
          <w:szCs w:val="18"/>
        </w:rPr>
        <w:br/>
      </w:r>
      <w:r w:rsidR="00C4668E" w:rsidRPr="00D85EE4">
        <w:rPr>
          <w:b/>
          <w:sz w:val="18"/>
          <w:szCs w:val="18"/>
        </w:rPr>
        <w:t>Survival:</w:t>
      </w:r>
      <w:r w:rsidR="009320B0" w:rsidRPr="00D85EE4">
        <w:rPr>
          <w:sz w:val="18"/>
          <w:szCs w:val="18"/>
        </w:rPr>
        <w:br/>
        <w:t xml:space="preserve"> </w:t>
      </w:r>
      <w:r w:rsidR="00C4668E" w:rsidRPr="00D85EE4">
        <w:rPr>
          <w:sz w:val="18"/>
          <w:szCs w:val="18"/>
        </w:rPr>
        <w:t xml:space="preserve">The basic objective of every business is to survive for a long period in the market. The management must ensure the survival of the </w:t>
      </w:r>
      <w:r w:rsidR="007028D2" w:rsidRPr="00D85EE4">
        <w:rPr>
          <w:sz w:val="18"/>
          <w:szCs w:val="18"/>
        </w:rPr>
        <w:t>organization</w:t>
      </w:r>
      <w:r w:rsidR="00C4668E" w:rsidRPr="00D85EE4">
        <w:rPr>
          <w:sz w:val="18"/>
          <w:szCs w:val="18"/>
        </w:rPr>
        <w:t xml:space="preserve"> by earning enough revenue to cover its costs.</w:t>
      </w:r>
      <w:r w:rsidR="00C4668E" w:rsidRPr="00D85EE4">
        <w:rPr>
          <w:sz w:val="18"/>
          <w:szCs w:val="18"/>
        </w:rPr>
        <w:br/>
      </w:r>
      <w:r w:rsidR="00C4668E" w:rsidRPr="00D85EE4">
        <w:rPr>
          <w:b/>
          <w:sz w:val="18"/>
          <w:szCs w:val="18"/>
        </w:rPr>
        <w:t>Profit:</w:t>
      </w:r>
      <w:r w:rsidR="009320B0" w:rsidRPr="00D85EE4">
        <w:rPr>
          <w:sz w:val="18"/>
          <w:szCs w:val="18"/>
        </w:rPr>
        <w:br/>
      </w:r>
      <w:r w:rsidR="00C4668E" w:rsidRPr="00D85EE4">
        <w:rPr>
          <w:sz w:val="18"/>
          <w:szCs w:val="18"/>
        </w:rPr>
        <w:t>Only survival is not sufficient for business. Profit earning is essential for meeting the expenses and for successful continuity of the business. Thus, management must ensure earning of sufficient profits for the organization.</w:t>
      </w:r>
      <w:r w:rsidR="00C4668E" w:rsidRPr="00D85EE4">
        <w:rPr>
          <w:sz w:val="18"/>
          <w:szCs w:val="18"/>
        </w:rPr>
        <w:br/>
      </w:r>
      <w:r w:rsidR="00C4668E" w:rsidRPr="00D85EE4">
        <w:rPr>
          <w:b/>
          <w:sz w:val="18"/>
          <w:szCs w:val="18"/>
        </w:rPr>
        <w:t>Growth:</w:t>
      </w:r>
      <w:r w:rsidR="009320B0" w:rsidRPr="00D85EE4">
        <w:rPr>
          <w:sz w:val="18"/>
          <w:szCs w:val="18"/>
        </w:rPr>
        <w:br/>
      </w:r>
      <w:r w:rsidR="00C4668E" w:rsidRPr="00D85EE4">
        <w:rPr>
          <w:sz w:val="18"/>
          <w:szCs w:val="18"/>
        </w:rPr>
        <w:t xml:space="preserve">The next important </w:t>
      </w:r>
      <w:r w:rsidR="009320B0" w:rsidRPr="00D85EE4">
        <w:rPr>
          <w:sz w:val="18"/>
          <w:szCs w:val="18"/>
        </w:rPr>
        <w:t>organizational</w:t>
      </w:r>
      <w:r w:rsidR="00C4668E" w:rsidRPr="00D85EE4">
        <w:rPr>
          <w:sz w:val="18"/>
          <w:szCs w:val="18"/>
        </w:rPr>
        <w:t xml:space="preserve"> objective of the management is to ensure future growth and development of the business which can be measured in terms of increased sales, increase in number of products, segments etc. The growth potential of the organization must be fully exploited by the management.</w:t>
      </w:r>
      <w:r w:rsidR="00C4668E" w:rsidRPr="00D85EE4">
        <w:rPr>
          <w:sz w:val="18"/>
          <w:szCs w:val="18"/>
        </w:rPr>
        <w:br/>
      </w:r>
      <w:r w:rsidR="009215AE" w:rsidRPr="00D85EE4">
        <w:rPr>
          <w:sz w:val="18"/>
          <w:szCs w:val="18"/>
        </w:rPr>
        <w:tab/>
      </w:r>
      <w:r w:rsidR="009215AE" w:rsidRPr="0045350E">
        <w:rPr>
          <w:color w:val="00B050"/>
          <w:sz w:val="18"/>
          <w:szCs w:val="18"/>
        </w:rPr>
        <w:t>(B)</w:t>
      </w:r>
      <w:r w:rsidR="009215AE" w:rsidRPr="00D85EE4">
        <w:rPr>
          <w:sz w:val="18"/>
          <w:szCs w:val="18"/>
        </w:rPr>
        <w:br/>
      </w:r>
      <w:r w:rsidR="00170311">
        <w:rPr>
          <w:sz w:val="18"/>
          <w:szCs w:val="18"/>
        </w:rPr>
        <w:t>T</w:t>
      </w:r>
      <w:r w:rsidR="009320B0" w:rsidRPr="00D85EE4">
        <w:rPr>
          <w:sz w:val="18"/>
          <w:szCs w:val="18"/>
        </w:rPr>
        <w:t>here are only four ways to increase your revenue:</w:t>
      </w:r>
      <w:r w:rsidR="009320B0" w:rsidRPr="00D85EE4">
        <w:rPr>
          <w:sz w:val="18"/>
          <w:szCs w:val="18"/>
        </w:rPr>
        <w:br/>
      </w:r>
      <w:r w:rsidR="00487491" w:rsidRPr="00D85EE4">
        <w:rPr>
          <w:sz w:val="18"/>
          <w:szCs w:val="18"/>
        </w:rPr>
        <w:t>1:Increase the number of customers.</w:t>
      </w:r>
    </w:p>
    <w:p w:rsidR="00487491" w:rsidRPr="00D85EE4" w:rsidRDefault="00487491" w:rsidP="0045350E">
      <w:pPr>
        <w:pStyle w:val="NoSpacing"/>
        <w:rPr>
          <w:sz w:val="18"/>
          <w:szCs w:val="18"/>
        </w:rPr>
      </w:pPr>
      <w:r w:rsidRPr="00D85EE4">
        <w:rPr>
          <w:sz w:val="18"/>
          <w:szCs w:val="18"/>
        </w:rPr>
        <w:t>2</w:t>
      </w:r>
      <w:r w:rsidR="00800489" w:rsidRPr="00D85EE4">
        <w:rPr>
          <w:sz w:val="18"/>
          <w:szCs w:val="18"/>
        </w:rPr>
        <w:t>: Increase</w:t>
      </w:r>
      <w:r w:rsidRPr="00D85EE4">
        <w:rPr>
          <w:sz w:val="18"/>
          <w:szCs w:val="18"/>
        </w:rPr>
        <w:t xml:space="preserve"> the average transaction size.</w:t>
      </w:r>
    </w:p>
    <w:p w:rsidR="00487491" w:rsidRPr="00D85EE4" w:rsidRDefault="00487491" w:rsidP="0045350E">
      <w:pPr>
        <w:pStyle w:val="NoSpacing"/>
        <w:rPr>
          <w:sz w:val="18"/>
          <w:szCs w:val="18"/>
        </w:rPr>
      </w:pPr>
      <w:r w:rsidRPr="00D85EE4">
        <w:rPr>
          <w:sz w:val="18"/>
          <w:szCs w:val="18"/>
        </w:rPr>
        <w:t>3</w:t>
      </w:r>
      <w:r w:rsidR="00800489" w:rsidRPr="00D85EE4">
        <w:rPr>
          <w:sz w:val="18"/>
          <w:szCs w:val="18"/>
        </w:rPr>
        <w:t>: Increase</w:t>
      </w:r>
      <w:r w:rsidRPr="00D85EE4">
        <w:rPr>
          <w:sz w:val="18"/>
          <w:szCs w:val="18"/>
        </w:rPr>
        <w:t xml:space="preserve"> the frequency of transactions per customer.</w:t>
      </w:r>
    </w:p>
    <w:p w:rsidR="00487491" w:rsidRPr="00D85EE4" w:rsidRDefault="00487491" w:rsidP="0045350E">
      <w:pPr>
        <w:rPr>
          <w:sz w:val="18"/>
          <w:szCs w:val="18"/>
        </w:rPr>
      </w:pPr>
      <w:r w:rsidRPr="00D85EE4">
        <w:rPr>
          <w:sz w:val="18"/>
          <w:szCs w:val="18"/>
        </w:rPr>
        <w:t>4</w:t>
      </w:r>
      <w:r w:rsidR="00800489" w:rsidRPr="00D85EE4">
        <w:rPr>
          <w:sz w:val="18"/>
          <w:szCs w:val="18"/>
        </w:rPr>
        <w:t>: Raise</w:t>
      </w:r>
      <w:r w:rsidRPr="00D85EE4">
        <w:rPr>
          <w:sz w:val="18"/>
          <w:szCs w:val="18"/>
        </w:rPr>
        <w:t xml:space="preserve"> your prices.</w:t>
      </w:r>
      <w:r w:rsidRPr="00D85EE4">
        <w:rPr>
          <w:sz w:val="18"/>
          <w:szCs w:val="18"/>
        </w:rPr>
        <w:br/>
        <w:t>1: Increasing the number of customers means you’re trying to bring more people in the door. This strategy is relatively straightforward: more visitors to your restaurant will equal more tabs, which (assuming the average transaction size stays the same), will bring in more money.</w:t>
      </w:r>
    </w:p>
    <w:p w:rsidR="00487491" w:rsidRPr="00D85EE4" w:rsidRDefault="00487491" w:rsidP="0045350E">
      <w:pPr>
        <w:rPr>
          <w:sz w:val="18"/>
          <w:szCs w:val="18"/>
        </w:rPr>
      </w:pPr>
      <w:r w:rsidRPr="00D85EE4">
        <w:rPr>
          <w:sz w:val="18"/>
          <w:szCs w:val="18"/>
        </w:rPr>
        <w:t>2: Increasing average transaction size means you’re trying to get each customer in to purchase more. This is typically done through a process called </w:t>
      </w:r>
      <w:r w:rsidR="00800489" w:rsidRPr="00D85EE4">
        <w:rPr>
          <w:sz w:val="18"/>
          <w:szCs w:val="18"/>
        </w:rPr>
        <w:t>up selling</w:t>
      </w:r>
      <w:r w:rsidRPr="00D85EE4">
        <w:rPr>
          <w:sz w:val="18"/>
          <w:szCs w:val="18"/>
        </w:rPr>
        <w:t>. When a customer purchases an entree, you offer them appetizers, drinks, and dessert. The more of these items the customer purchases, the more they spend, and the more revenue you collect.</w:t>
      </w:r>
    </w:p>
    <w:p w:rsidR="00487491" w:rsidRPr="00D85EE4" w:rsidRDefault="00487491" w:rsidP="0045350E">
      <w:pPr>
        <w:rPr>
          <w:sz w:val="18"/>
          <w:szCs w:val="18"/>
        </w:rPr>
      </w:pPr>
      <w:r w:rsidRPr="00D85EE4">
        <w:rPr>
          <w:sz w:val="18"/>
          <w:szCs w:val="18"/>
        </w:rPr>
        <w:lastRenderedPageBreak/>
        <w:t>3: Increasing the frequency of transactions per customer means encouraging people to purchase from you more often. If your average customer comes in once a month, convincing them to patronize your business once a week will increase your revenue. The more frequently they visit your establishment, the more revenue your restaurant will bring in, assuming the average transaction size stays the same.</w:t>
      </w:r>
    </w:p>
    <w:p w:rsidR="00487491" w:rsidRPr="00D85EE4" w:rsidRDefault="00487491" w:rsidP="0045350E">
      <w:pPr>
        <w:rPr>
          <w:sz w:val="18"/>
          <w:szCs w:val="18"/>
        </w:rPr>
      </w:pPr>
      <w:r w:rsidRPr="00D85EE4">
        <w:rPr>
          <w:sz w:val="18"/>
          <w:szCs w:val="18"/>
        </w:rPr>
        <w:t>4: Raising your prices means you’ll collect more revenue from every purchase a customer makes. Assuming your volume, average transaction size, and frequency stay the same, raising your prices will bring in more revenue for the same amount of effort.</w:t>
      </w:r>
    </w:p>
    <w:p w:rsidR="00685A02" w:rsidRPr="00D85EE4" w:rsidRDefault="002749AA" w:rsidP="0045350E">
      <w:pPr>
        <w:pStyle w:val="NoSpacing"/>
        <w:rPr>
          <w:sz w:val="18"/>
          <w:szCs w:val="18"/>
        </w:rPr>
      </w:pPr>
      <w:r w:rsidRPr="00D85EE4">
        <w:rPr>
          <w:sz w:val="18"/>
          <w:szCs w:val="18"/>
        </w:rPr>
        <w:t>Answer 3:</w:t>
      </w:r>
      <w:r w:rsidRPr="0045350E">
        <w:rPr>
          <w:color w:val="00B050"/>
          <w:sz w:val="18"/>
          <w:szCs w:val="18"/>
        </w:rPr>
        <w:t xml:space="preserve"> (A)</w:t>
      </w:r>
      <w:r w:rsidRPr="00D85EE4">
        <w:rPr>
          <w:sz w:val="18"/>
          <w:szCs w:val="18"/>
        </w:rPr>
        <w:br/>
      </w:r>
      <w:r w:rsidRPr="00D85EE4">
        <w:rPr>
          <w:sz w:val="18"/>
          <w:szCs w:val="18"/>
          <w:highlight w:val="yellow"/>
        </w:rPr>
        <w:t>1:</w:t>
      </w:r>
      <w:r w:rsidR="00685A02" w:rsidRPr="00D85EE4">
        <w:rPr>
          <w:sz w:val="18"/>
          <w:szCs w:val="18"/>
        </w:rPr>
        <w:br/>
      </w:r>
    </w:p>
    <w:tbl>
      <w:tblPr>
        <w:tblStyle w:val="TableGrid"/>
        <w:tblW w:w="0" w:type="auto"/>
        <w:tblLook w:val="04A0" w:firstRow="1" w:lastRow="0" w:firstColumn="1" w:lastColumn="0" w:noHBand="0" w:noVBand="1"/>
      </w:tblPr>
      <w:tblGrid>
        <w:gridCol w:w="1882"/>
        <w:gridCol w:w="3246"/>
        <w:gridCol w:w="4222"/>
      </w:tblGrid>
      <w:tr w:rsidR="00685A02" w:rsidRPr="00D85EE4" w:rsidTr="00793599">
        <w:trPr>
          <w:trHeight w:val="368"/>
        </w:trPr>
        <w:tc>
          <w:tcPr>
            <w:tcW w:w="1908" w:type="dxa"/>
          </w:tcPr>
          <w:p w:rsidR="00685A02" w:rsidRPr="00D85EE4" w:rsidRDefault="00685A02" w:rsidP="0045350E">
            <w:pPr>
              <w:rPr>
                <w:b/>
                <w:sz w:val="18"/>
                <w:szCs w:val="18"/>
              </w:rPr>
            </w:pPr>
            <w:r w:rsidRPr="00D85EE4">
              <w:rPr>
                <w:b/>
                <w:sz w:val="18"/>
                <w:szCs w:val="18"/>
              </w:rPr>
              <w:t>Basis</w:t>
            </w:r>
          </w:p>
        </w:tc>
        <w:tc>
          <w:tcPr>
            <w:tcW w:w="3330" w:type="dxa"/>
          </w:tcPr>
          <w:p w:rsidR="00685A02" w:rsidRPr="00D85EE4" w:rsidRDefault="00685A02" w:rsidP="0045350E">
            <w:pPr>
              <w:rPr>
                <w:b/>
                <w:sz w:val="18"/>
                <w:szCs w:val="18"/>
              </w:rPr>
            </w:pPr>
            <w:r w:rsidRPr="00D85EE4">
              <w:rPr>
                <w:b/>
                <w:sz w:val="18"/>
                <w:szCs w:val="18"/>
              </w:rPr>
              <w:t>Money Market</w:t>
            </w:r>
          </w:p>
        </w:tc>
        <w:tc>
          <w:tcPr>
            <w:tcW w:w="4338" w:type="dxa"/>
          </w:tcPr>
          <w:p w:rsidR="00685A02" w:rsidRPr="00D85EE4" w:rsidRDefault="00685A02" w:rsidP="0045350E">
            <w:pPr>
              <w:rPr>
                <w:b/>
                <w:sz w:val="18"/>
                <w:szCs w:val="18"/>
              </w:rPr>
            </w:pPr>
            <w:r w:rsidRPr="00D85EE4">
              <w:rPr>
                <w:b/>
                <w:sz w:val="18"/>
                <w:szCs w:val="18"/>
              </w:rPr>
              <w:t>Capital Market</w:t>
            </w:r>
          </w:p>
        </w:tc>
      </w:tr>
      <w:tr w:rsidR="00685A02" w:rsidRPr="00D85EE4" w:rsidTr="00793599">
        <w:tc>
          <w:tcPr>
            <w:tcW w:w="1908" w:type="dxa"/>
          </w:tcPr>
          <w:p w:rsidR="00685A02" w:rsidRPr="00D85EE4" w:rsidRDefault="00685A02" w:rsidP="0045350E">
            <w:pPr>
              <w:rPr>
                <w:sz w:val="18"/>
                <w:szCs w:val="18"/>
              </w:rPr>
            </w:pPr>
            <w:r w:rsidRPr="00D85EE4">
              <w:rPr>
                <w:sz w:val="18"/>
                <w:szCs w:val="18"/>
              </w:rPr>
              <w:t>Meaning</w:t>
            </w:r>
          </w:p>
        </w:tc>
        <w:tc>
          <w:tcPr>
            <w:tcW w:w="3330" w:type="dxa"/>
          </w:tcPr>
          <w:p w:rsidR="00685A02" w:rsidRPr="00D85EE4" w:rsidRDefault="00685A02" w:rsidP="0045350E">
            <w:pPr>
              <w:rPr>
                <w:sz w:val="18"/>
                <w:szCs w:val="18"/>
              </w:rPr>
            </w:pPr>
            <w:r w:rsidRPr="00D85EE4">
              <w:rPr>
                <w:sz w:val="18"/>
                <w:szCs w:val="18"/>
              </w:rPr>
              <w:t>A random course of financial institutions, bill brokers, money dealers, banks, etc</w:t>
            </w:r>
            <w:r w:rsidR="00500DC7" w:rsidRPr="00D85EE4">
              <w:rPr>
                <w:sz w:val="18"/>
                <w:szCs w:val="18"/>
              </w:rPr>
              <w:t>.</w:t>
            </w:r>
          </w:p>
        </w:tc>
        <w:tc>
          <w:tcPr>
            <w:tcW w:w="4338" w:type="dxa"/>
          </w:tcPr>
          <w:p w:rsidR="00685A02" w:rsidRPr="00D85EE4" w:rsidRDefault="00500DC7" w:rsidP="0045350E">
            <w:pPr>
              <w:rPr>
                <w:sz w:val="18"/>
                <w:szCs w:val="18"/>
              </w:rPr>
            </w:pPr>
            <w:r w:rsidRPr="00D85EE4">
              <w:rPr>
                <w:sz w:val="18"/>
                <w:szCs w:val="18"/>
              </w:rPr>
              <w:t>T</w:t>
            </w:r>
            <w:r w:rsidR="00685A02" w:rsidRPr="00D85EE4">
              <w:rPr>
                <w:sz w:val="18"/>
                <w:szCs w:val="18"/>
              </w:rPr>
              <w:t xml:space="preserve">he company or government securities are generated and </w:t>
            </w:r>
            <w:r w:rsidR="008D57CF" w:rsidRPr="00D85EE4">
              <w:rPr>
                <w:sz w:val="18"/>
                <w:szCs w:val="18"/>
              </w:rPr>
              <w:t>patronized</w:t>
            </w:r>
            <w:r w:rsidR="00685A02" w:rsidRPr="00D85EE4">
              <w:rPr>
                <w:sz w:val="18"/>
                <w:szCs w:val="18"/>
              </w:rPr>
              <w:t xml:space="preserve"> for the intention of establishing long-term finance to coincide the capital necessary is called as Capital Market.</w:t>
            </w:r>
          </w:p>
        </w:tc>
      </w:tr>
      <w:tr w:rsidR="00685A02" w:rsidRPr="00D85EE4" w:rsidTr="00793599">
        <w:tc>
          <w:tcPr>
            <w:tcW w:w="1908" w:type="dxa"/>
          </w:tcPr>
          <w:p w:rsidR="00685A02" w:rsidRPr="00D85EE4" w:rsidRDefault="00685A02" w:rsidP="0045350E">
            <w:pPr>
              <w:rPr>
                <w:sz w:val="18"/>
                <w:szCs w:val="18"/>
              </w:rPr>
            </w:pPr>
            <w:r w:rsidRPr="00D85EE4">
              <w:rPr>
                <w:sz w:val="18"/>
                <w:szCs w:val="18"/>
              </w:rPr>
              <w:t>Nature of Market</w:t>
            </w:r>
          </w:p>
        </w:tc>
        <w:tc>
          <w:tcPr>
            <w:tcW w:w="3330" w:type="dxa"/>
          </w:tcPr>
          <w:p w:rsidR="00685A02" w:rsidRPr="00D85EE4" w:rsidRDefault="00685A02" w:rsidP="0045350E">
            <w:pPr>
              <w:rPr>
                <w:sz w:val="18"/>
                <w:szCs w:val="18"/>
              </w:rPr>
            </w:pPr>
            <w:r w:rsidRPr="00D85EE4">
              <w:rPr>
                <w:sz w:val="18"/>
                <w:szCs w:val="18"/>
              </w:rPr>
              <w:t>Informal</w:t>
            </w:r>
          </w:p>
        </w:tc>
        <w:tc>
          <w:tcPr>
            <w:tcW w:w="4338" w:type="dxa"/>
          </w:tcPr>
          <w:p w:rsidR="00685A02" w:rsidRPr="00D85EE4" w:rsidRDefault="00685A02" w:rsidP="0045350E">
            <w:pPr>
              <w:rPr>
                <w:sz w:val="18"/>
                <w:szCs w:val="18"/>
              </w:rPr>
            </w:pPr>
            <w:r w:rsidRPr="00D85EE4">
              <w:rPr>
                <w:sz w:val="18"/>
                <w:szCs w:val="18"/>
              </w:rPr>
              <w:t>Formal</w:t>
            </w:r>
          </w:p>
        </w:tc>
      </w:tr>
      <w:tr w:rsidR="00685A02" w:rsidRPr="00D85EE4" w:rsidTr="00793599">
        <w:tc>
          <w:tcPr>
            <w:tcW w:w="1908" w:type="dxa"/>
          </w:tcPr>
          <w:p w:rsidR="00685A02" w:rsidRPr="00D85EE4" w:rsidRDefault="00685A02" w:rsidP="0045350E">
            <w:pPr>
              <w:rPr>
                <w:sz w:val="18"/>
                <w:szCs w:val="18"/>
              </w:rPr>
            </w:pPr>
            <w:r w:rsidRPr="00D85EE4">
              <w:rPr>
                <w:sz w:val="18"/>
                <w:szCs w:val="18"/>
              </w:rPr>
              <w:t>Organizations</w:t>
            </w:r>
          </w:p>
        </w:tc>
        <w:tc>
          <w:tcPr>
            <w:tcW w:w="3330" w:type="dxa"/>
          </w:tcPr>
          <w:p w:rsidR="00685A02" w:rsidRPr="00D85EE4" w:rsidRDefault="00685A02" w:rsidP="0045350E">
            <w:pPr>
              <w:rPr>
                <w:sz w:val="18"/>
                <w:szCs w:val="18"/>
              </w:rPr>
            </w:pPr>
            <w:r w:rsidRPr="00D85EE4">
              <w:rPr>
                <w:sz w:val="18"/>
                <w:szCs w:val="18"/>
              </w:rPr>
              <w:t>Commercial bank, bill brokers, non-financial institutions, the central bank, acceptance houses, and so on.</w:t>
            </w:r>
          </w:p>
        </w:tc>
        <w:tc>
          <w:tcPr>
            <w:tcW w:w="4338" w:type="dxa"/>
          </w:tcPr>
          <w:p w:rsidR="00685A02" w:rsidRPr="00D85EE4" w:rsidRDefault="00685A02" w:rsidP="0045350E">
            <w:pPr>
              <w:rPr>
                <w:sz w:val="18"/>
                <w:szCs w:val="18"/>
              </w:rPr>
            </w:pPr>
            <w:r w:rsidRPr="00D85EE4">
              <w:rPr>
                <w:sz w:val="18"/>
                <w:szCs w:val="18"/>
              </w:rPr>
              <w:t xml:space="preserve">The stock exchange, Commercial banks, non-banking </w:t>
            </w:r>
            <w:r w:rsidR="00827E22" w:rsidRPr="00D85EE4">
              <w:rPr>
                <w:sz w:val="18"/>
                <w:szCs w:val="18"/>
              </w:rPr>
              <w:t>organizations</w:t>
            </w:r>
            <w:r w:rsidRPr="00D85EE4">
              <w:rPr>
                <w:sz w:val="18"/>
                <w:szCs w:val="18"/>
              </w:rPr>
              <w:t xml:space="preserve"> like insurance companies etc.</w:t>
            </w:r>
          </w:p>
        </w:tc>
      </w:tr>
      <w:tr w:rsidR="00685A02" w:rsidRPr="00D85EE4" w:rsidTr="00793599">
        <w:tc>
          <w:tcPr>
            <w:tcW w:w="1908" w:type="dxa"/>
          </w:tcPr>
          <w:p w:rsidR="00685A02" w:rsidRPr="00D85EE4" w:rsidRDefault="00194043" w:rsidP="0045350E">
            <w:pPr>
              <w:rPr>
                <w:sz w:val="18"/>
                <w:szCs w:val="18"/>
              </w:rPr>
            </w:pPr>
            <w:r w:rsidRPr="00D85EE4">
              <w:rPr>
                <w:sz w:val="18"/>
                <w:szCs w:val="18"/>
              </w:rPr>
              <w:t>Risk Factor</w:t>
            </w:r>
          </w:p>
        </w:tc>
        <w:tc>
          <w:tcPr>
            <w:tcW w:w="3330" w:type="dxa"/>
          </w:tcPr>
          <w:p w:rsidR="00685A02" w:rsidRPr="00D85EE4" w:rsidRDefault="00194043" w:rsidP="0045350E">
            <w:pPr>
              <w:rPr>
                <w:sz w:val="18"/>
                <w:szCs w:val="18"/>
              </w:rPr>
            </w:pPr>
            <w:r w:rsidRPr="00D85EE4">
              <w:rPr>
                <w:sz w:val="18"/>
                <w:szCs w:val="18"/>
              </w:rPr>
              <w:t>Low</w:t>
            </w:r>
          </w:p>
        </w:tc>
        <w:tc>
          <w:tcPr>
            <w:tcW w:w="4338" w:type="dxa"/>
          </w:tcPr>
          <w:p w:rsidR="00685A02" w:rsidRPr="00D85EE4" w:rsidRDefault="00194043" w:rsidP="0045350E">
            <w:pPr>
              <w:rPr>
                <w:sz w:val="18"/>
                <w:szCs w:val="18"/>
              </w:rPr>
            </w:pPr>
            <w:r w:rsidRPr="00D85EE4">
              <w:rPr>
                <w:sz w:val="18"/>
                <w:szCs w:val="18"/>
              </w:rPr>
              <w:t>High</w:t>
            </w:r>
          </w:p>
        </w:tc>
      </w:tr>
      <w:tr w:rsidR="00685A02" w:rsidRPr="00D85EE4" w:rsidTr="00793599">
        <w:tc>
          <w:tcPr>
            <w:tcW w:w="1908" w:type="dxa"/>
          </w:tcPr>
          <w:p w:rsidR="00685A02" w:rsidRPr="00D85EE4" w:rsidRDefault="00194043" w:rsidP="0045350E">
            <w:pPr>
              <w:rPr>
                <w:sz w:val="18"/>
                <w:szCs w:val="18"/>
              </w:rPr>
            </w:pPr>
            <w:r w:rsidRPr="00D85EE4">
              <w:rPr>
                <w:sz w:val="18"/>
                <w:szCs w:val="18"/>
              </w:rPr>
              <w:t>Return on Investment</w:t>
            </w:r>
          </w:p>
        </w:tc>
        <w:tc>
          <w:tcPr>
            <w:tcW w:w="3330" w:type="dxa"/>
          </w:tcPr>
          <w:p w:rsidR="00685A02" w:rsidRPr="00D85EE4" w:rsidRDefault="00194043" w:rsidP="0045350E">
            <w:pPr>
              <w:rPr>
                <w:sz w:val="18"/>
                <w:szCs w:val="18"/>
              </w:rPr>
            </w:pPr>
            <w:r w:rsidRPr="00D85EE4">
              <w:rPr>
                <w:sz w:val="18"/>
                <w:szCs w:val="18"/>
              </w:rPr>
              <w:t>Less</w:t>
            </w:r>
          </w:p>
        </w:tc>
        <w:tc>
          <w:tcPr>
            <w:tcW w:w="4338" w:type="dxa"/>
          </w:tcPr>
          <w:p w:rsidR="00685A02" w:rsidRPr="00D85EE4" w:rsidRDefault="00194043" w:rsidP="0045350E">
            <w:pPr>
              <w:rPr>
                <w:sz w:val="18"/>
                <w:szCs w:val="18"/>
              </w:rPr>
            </w:pPr>
            <w:r w:rsidRPr="00D85EE4">
              <w:rPr>
                <w:sz w:val="18"/>
                <w:szCs w:val="18"/>
              </w:rPr>
              <w:t>High</w:t>
            </w:r>
          </w:p>
        </w:tc>
      </w:tr>
      <w:tr w:rsidR="00685A02" w:rsidRPr="00D85EE4" w:rsidTr="00793599">
        <w:tc>
          <w:tcPr>
            <w:tcW w:w="1908" w:type="dxa"/>
          </w:tcPr>
          <w:p w:rsidR="00685A02" w:rsidRPr="00D85EE4" w:rsidRDefault="00194043" w:rsidP="0045350E">
            <w:pPr>
              <w:rPr>
                <w:sz w:val="18"/>
                <w:szCs w:val="18"/>
              </w:rPr>
            </w:pPr>
            <w:r w:rsidRPr="00D85EE4">
              <w:rPr>
                <w:sz w:val="18"/>
                <w:szCs w:val="18"/>
              </w:rPr>
              <w:t>Financial Tools</w:t>
            </w:r>
          </w:p>
        </w:tc>
        <w:tc>
          <w:tcPr>
            <w:tcW w:w="3330" w:type="dxa"/>
          </w:tcPr>
          <w:p w:rsidR="00685A02" w:rsidRPr="00D85EE4" w:rsidRDefault="00194043" w:rsidP="0045350E">
            <w:pPr>
              <w:rPr>
                <w:sz w:val="18"/>
                <w:szCs w:val="18"/>
              </w:rPr>
            </w:pPr>
            <w:r w:rsidRPr="00D85EE4">
              <w:rPr>
                <w:sz w:val="18"/>
                <w:szCs w:val="18"/>
              </w:rPr>
              <w:t>Commercial Papers, Treasury Certificate of Deposit, Bills, Trade Credit, etc.</w:t>
            </w:r>
          </w:p>
        </w:tc>
        <w:tc>
          <w:tcPr>
            <w:tcW w:w="4338" w:type="dxa"/>
          </w:tcPr>
          <w:p w:rsidR="00685A02" w:rsidRPr="00D85EE4" w:rsidRDefault="00194043" w:rsidP="0045350E">
            <w:pPr>
              <w:rPr>
                <w:sz w:val="18"/>
                <w:szCs w:val="18"/>
              </w:rPr>
            </w:pPr>
            <w:r w:rsidRPr="00D85EE4">
              <w:rPr>
                <w:sz w:val="18"/>
                <w:szCs w:val="18"/>
              </w:rPr>
              <w:t>Bonds, Debentures, Shares, Asset Securitization, Retained Earnings, Euro Issues, etc.</w:t>
            </w:r>
          </w:p>
        </w:tc>
      </w:tr>
    </w:tbl>
    <w:p w:rsidR="002749AA" w:rsidRPr="00D85EE4" w:rsidRDefault="002749AA" w:rsidP="0045350E">
      <w:pPr>
        <w:pStyle w:val="NoSpacing"/>
        <w:rPr>
          <w:sz w:val="18"/>
          <w:szCs w:val="18"/>
        </w:rPr>
      </w:pPr>
      <w:r w:rsidRPr="00D85EE4">
        <w:rPr>
          <w:sz w:val="18"/>
          <w:szCs w:val="18"/>
          <w:highlight w:val="yellow"/>
        </w:rPr>
        <w:t>2:</w:t>
      </w:r>
      <w:r w:rsidRPr="00D85EE4">
        <w:rPr>
          <w:sz w:val="18"/>
          <w:szCs w:val="18"/>
        </w:rPr>
        <w:br/>
      </w:r>
    </w:p>
    <w:tbl>
      <w:tblPr>
        <w:tblStyle w:val="TableGrid"/>
        <w:tblW w:w="0" w:type="auto"/>
        <w:tblLook w:val="04A0" w:firstRow="1" w:lastRow="0" w:firstColumn="1" w:lastColumn="0" w:noHBand="0" w:noVBand="1"/>
      </w:tblPr>
      <w:tblGrid>
        <w:gridCol w:w="1881"/>
        <w:gridCol w:w="3080"/>
        <w:gridCol w:w="4389"/>
      </w:tblGrid>
      <w:tr w:rsidR="002749AA" w:rsidRPr="00D85EE4" w:rsidTr="00A15E88">
        <w:tc>
          <w:tcPr>
            <w:tcW w:w="1908" w:type="dxa"/>
          </w:tcPr>
          <w:p w:rsidR="002749AA" w:rsidRPr="00D85EE4" w:rsidRDefault="002749AA" w:rsidP="0045350E">
            <w:pPr>
              <w:pStyle w:val="NoSpacing"/>
              <w:rPr>
                <w:b/>
                <w:sz w:val="18"/>
                <w:szCs w:val="18"/>
              </w:rPr>
            </w:pPr>
            <w:r w:rsidRPr="00D85EE4">
              <w:rPr>
                <w:b/>
                <w:sz w:val="18"/>
                <w:szCs w:val="18"/>
              </w:rPr>
              <w:t>Basis</w:t>
            </w:r>
          </w:p>
        </w:tc>
        <w:tc>
          <w:tcPr>
            <w:tcW w:w="3150" w:type="dxa"/>
          </w:tcPr>
          <w:p w:rsidR="002749AA" w:rsidRPr="00D85EE4" w:rsidRDefault="002749AA" w:rsidP="0045350E">
            <w:pPr>
              <w:pStyle w:val="NoSpacing"/>
              <w:rPr>
                <w:b/>
                <w:sz w:val="18"/>
                <w:szCs w:val="18"/>
              </w:rPr>
            </w:pPr>
            <w:r w:rsidRPr="00D85EE4">
              <w:rPr>
                <w:b/>
                <w:sz w:val="18"/>
                <w:szCs w:val="18"/>
              </w:rPr>
              <w:t>Primary market</w:t>
            </w:r>
          </w:p>
        </w:tc>
        <w:tc>
          <w:tcPr>
            <w:tcW w:w="4518" w:type="dxa"/>
          </w:tcPr>
          <w:p w:rsidR="002749AA" w:rsidRPr="00D85EE4" w:rsidRDefault="002749AA" w:rsidP="0045350E">
            <w:pPr>
              <w:pStyle w:val="NoSpacing"/>
              <w:rPr>
                <w:b/>
                <w:sz w:val="18"/>
                <w:szCs w:val="18"/>
              </w:rPr>
            </w:pPr>
            <w:r w:rsidRPr="00D85EE4">
              <w:rPr>
                <w:b/>
                <w:sz w:val="18"/>
                <w:szCs w:val="18"/>
              </w:rPr>
              <w:t>Secondary market</w:t>
            </w:r>
          </w:p>
        </w:tc>
      </w:tr>
      <w:tr w:rsidR="002749AA" w:rsidRPr="00D85EE4" w:rsidTr="00A15E88">
        <w:tc>
          <w:tcPr>
            <w:tcW w:w="1908" w:type="dxa"/>
          </w:tcPr>
          <w:p w:rsidR="002749AA" w:rsidRPr="00D85EE4" w:rsidRDefault="002749AA" w:rsidP="0045350E">
            <w:pPr>
              <w:rPr>
                <w:sz w:val="18"/>
                <w:szCs w:val="18"/>
              </w:rPr>
            </w:pPr>
            <w:r w:rsidRPr="00D85EE4">
              <w:rPr>
                <w:sz w:val="18"/>
                <w:szCs w:val="18"/>
              </w:rPr>
              <w:t>Meaning</w:t>
            </w:r>
          </w:p>
        </w:tc>
        <w:tc>
          <w:tcPr>
            <w:tcW w:w="3150" w:type="dxa"/>
          </w:tcPr>
          <w:p w:rsidR="002749AA" w:rsidRPr="00D85EE4" w:rsidRDefault="002749AA" w:rsidP="0045350E">
            <w:pPr>
              <w:rPr>
                <w:sz w:val="18"/>
                <w:szCs w:val="18"/>
              </w:rPr>
            </w:pPr>
            <w:r w:rsidRPr="00D85EE4">
              <w:rPr>
                <w:sz w:val="18"/>
                <w:szCs w:val="18"/>
              </w:rPr>
              <w:t>It is the market where securities are issued for the first time</w:t>
            </w:r>
          </w:p>
        </w:tc>
        <w:tc>
          <w:tcPr>
            <w:tcW w:w="4518" w:type="dxa"/>
          </w:tcPr>
          <w:p w:rsidR="002749AA" w:rsidRPr="00D85EE4" w:rsidRDefault="002749AA" w:rsidP="0045350E">
            <w:pPr>
              <w:rPr>
                <w:sz w:val="18"/>
                <w:szCs w:val="18"/>
              </w:rPr>
            </w:pPr>
            <w:r w:rsidRPr="00D85EE4">
              <w:rPr>
                <w:sz w:val="18"/>
                <w:szCs w:val="18"/>
              </w:rPr>
              <w:t>It is the market where shares already issued earlier are then traded between investors</w:t>
            </w:r>
          </w:p>
        </w:tc>
      </w:tr>
      <w:tr w:rsidR="002749AA" w:rsidRPr="00D85EE4" w:rsidTr="00793599">
        <w:trPr>
          <w:trHeight w:val="449"/>
        </w:trPr>
        <w:tc>
          <w:tcPr>
            <w:tcW w:w="1908" w:type="dxa"/>
          </w:tcPr>
          <w:p w:rsidR="002749AA" w:rsidRPr="00D85EE4" w:rsidRDefault="002749AA" w:rsidP="0045350E">
            <w:pPr>
              <w:rPr>
                <w:sz w:val="18"/>
                <w:szCs w:val="18"/>
              </w:rPr>
            </w:pPr>
            <w:r w:rsidRPr="00D85EE4">
              <w:rPr>
                <w:sz w:val="18"/>
                <w:szCs w:val="18"/>
              </w:rPr>
              <w:t>Purpose</w:t>
            </w:r>
          </w:p>
        </w:tc>
        <w:tc>
          <w:tcPr>
            <w:tcW w:w="3150" w:type="dxa"/>
          </w:tcPr>
          <w:p w:rsidR="002749AA" w:rsidRPr="00D85EE4" w:rsidRDefault="002749AA" w:rsidP="0045350E">
            <w:pPr>
              <w:rPr>
                <w:sz w:val="18"/>
                <w:szCs w:val="18"/>
              </w:rPr>
            </w:pPr>
            <w:r w:rsidRPr="00D85EE4">
              <w:rPr>
                <w:sz w:val="18"/>
                <w:szCs w:val="18"/>
              </w:rPr>
              <w:t>Undertaken for expansionary plans or for promoters to offload their stakes</w:t>
            </w:r>
          </w:p>
        </w:tc>
        <w:tc>
          <w:tcPr>
            <w:tcW w:w="4518" w:type="dxa"/>
          </w:tcPr>
          <w:p w:rsidR="002749AA" w:rsidRPr="00D85EE4" w:rsidRDefault="002749AA" w:rsidP="0045350E">
            <w:pPr>
              <w:rPr>
                <w:sz w:val="18"/>
                <w:szCs w:val="18"/>
              </w:rPr>
            </w:pPr>
            <w:r w:rsidRPr="00D85EE4">
              <w:rPr>
                <w:sz w:val="18"/>
                <w:szCs w:val="18"/>
              </w:rPr>
              <w:t>It  provides a ready market for trading the securities between investors</w:t>
            </w:r>
          </w:p>
        </w:tc>
      </w:tr>
      <w:tr w:rsidR="002749AA" w:rsidRPr="00D85EE4" w:rsidTr="00A15E88">
        <w:tc>
          <w:tcPr>
            <w:tcW w:w="1908" w:type="dxa"/>
          </w:tcPr>
          <w:p w:rsidR="002749AA" w:rsidRPr="00D85EE4" w:rsidRDefault="00500DC7" w:rsidP="0045350E">
            <w:pPr>
              <w:rPr>
                <w:sz w:val="18"/>
                <w:szCs w:val="18"/>
              </w:rPr>
            </w:pPr>
            <w:r w:rsidRPr="00D85EE4">
              <w:rPr>
                <w:sz w:val="18"/>
                <w:szCs w:val="18"/>
              </w:rPr>
              <w:t>Recipient on a gain on sale of shares</w:t>
            </w:r>
          </w:p>
        </w:tc>
        <w:tc>
          <w:tcPr>
            <w:tcW w:w="3150" w:type="dxa"/>
          </w:tcPr>
          <w:p w:rsidR="002749AA" w:rsidRPr="00D85EE4" w:rsidRDefault="008A0E5F" w:rsidP="0045350E">
            <w:pPr>
              <w:rPr>
                <w:sz w:val="18"/>
                <w:szCs w:val="18"/>
              </w:rPr>
            </w:pPr>
            <w:r w:rsidRPr="00D85EE4">
              <w:rPr>
                <w:sz w:val="18"/>
                <w:szCs w:val="18"/>
              </w:rPr>
              <w:t>Company</w:t>
            </w:r>
          </w:p>
        </w:tc>
        <w:tc>
          <w:tcPr>
            <w:tcW w:w="4518" w:type="dxa"/>
          </w:tcPr>
          <w:p w:rsidR="002749AA" w:rsidRPr="00D85EE4" w:rsidRDefault="008A0E5F" w:rsidP="0045350E">
            <w:pPr>
              <w:rPr>
                <w:sz w:val="18"/>
                <w:szCs w:val="18"/>
              </w:rPr>
            </w:pPr>
            <w:r w:rsidRPr="00D85EE4">
              <w:rPr>
                <w:sz w:val="18"/>
                <w:szCs w:val="18"/>
              </w:rPr>
              <w:t>It happens to be the investors in case of secondary markets</w:t>
            </w:r>
          </w:p>
        </w:tc>
      </w:tr>
      <w:tr w:rsidR="002749AA" w:rsidRPr="00D85EE4" w:rsidTr="00A15E88">
        <w:tc>
          <w:tcPr>
            <w:tcW w:w="1908" w:type="dxa"/>
          </w:tcPr>
          <w:p w:rsidR="002749AA" w:rsidRPr="00D85EE4" w:rsidRDefault="008A0E5F" w:rsidP="0045350E">
            <w:pPr>
              <w:rPr>
                <w:sz w:val="18"/>
                <w:szCs w:val="18"/>
              </w:rPr>
            </w:pPr>
            <w:r w:rsidRPr="00D85EE4">
              <w:rPr>
                <w:sz w:val="18"/>
                <w:szCs w:val="18"/>
              </w:rPr>
              <w:t>Price</w:t>
            </w:r>
          </w:p>
        </w:tc>
        <w:tc>
          <w:tcPr>
            <w:tcW w:w="3150" w:type="dxa"/>
          </w:tcPr>
          <w:p w:rsidR="002749AA" w:rsidRPr="00D85EE4" w:rsidRDefault="008A0E5F" w:rsidP="0045350E">
            <w:pPr>
              <w:rPr>
                <w:sz w:val="18"/>
                <w:szCs w:val="18"/>
              </w:rPr>
            </w:pPr>
            <w:r w:rsidRPr="00D85EE4">
              <w:rPr>
                <w:sz w:val="18"/>
                <w:szCs w:val="18"/>
              </w:rPr>
              <w:t>It is fixed by the investment banks at the time of issue, after sufficient discussion with the management</w:t>
            </w:r>
          </w:p>
        </w:tc>
        <w:tc>
          <w:tcPr>
            <w:tcW w:w="4518" w:type="dxa"/>
          </w:tcPr>
          <w:p w:rsidR="002749AA" w:rsidRPr="00D85EE4" w:rsidRDefault="008A0E5F" w:rsidP="0045350E">
            <w:pPr>
              <w:rPr>
                <w:sz w:val="18"/>
                <w:szCs w:val="18"/>
              </w:rPr>
            </w:pPr>
            <w:r w:rsidRPr="00D85EE4">
              <w:rPr>
                <w:sz w:val="18"/>
                <w:szCs w:val="18"/>
              </w:rPr>
              <w:t>The price depends on demand and supply forces or the security in the market</w:t>
            </w:r>
          </w:p>
        </w:tc>
      </w:tr>
      <w:tr w:rsidR="002749AA" w:rsidRPr="00D85EE4" w:rsidTr="00A15E88">
        <w:tc>
          <w:tcPr>
            <w:tcW w:w="1908" w:type="dxa"/>
          </w:tcPr>
          <w:p w:rsidR="002749AA" w:rsidRPr="00D85EE4" w:rsidRDefault="008A0E5F" w:rsidP="0045350E">
            <w:pPr>
              <w:rPr>
                <w:sz w:val="18"/>
                <w:szCs w:val="18"/>
              </w:rPr>
            </w:pPr>
            <w:r w:rsidRPr="00D85EE4">
              <w:rPr>
                <w:sz w:val="18"/>
                <w:szCs w:val="18"/>
              </w:rPr>
              <w:t>Intermediary</w:t>
            </w:r>
          </w:p>
        </w:tc>
        <w:tc>
          <w:tcPr>
            <w:tcW w:w="3150" w:type="dxa"/>
          </w:tcPr>
          <w:p w:rsidR="002749AA" w:rsidRPr="00D85EE4" w:rsidRDefault="008A0E5F" w:rsidP="0045350E">
            <w:pPr>
              <w:tabs>
                <w:tab w:val="left" w:pos="537"/>
              </w:tabs>
              <w:rPr>
                <w:sz w:val="18"/>
                <w:szCs w:val="18"/>
              </w:rPr>
            </w:pPr>
            <w:r w:rsidRPr="00D85EE4">
              <w:rPr>
                <w:sz w:val="18"/>
                <w:szCs w:val="18"/>
              </w:rPr>
              <w:t>Underwriters: Companies seek the help of underwriters in issuing these securities to the public</w:t>
            </w:r>
          </w:p>
        </w:tc>
        <w:tc>
          <w:tcPr>
            <w:tcW w:w="4518" w:type="dxa"/>
          </w:tcPr>
          <w:p w:rsidR="002749AA" w:rsidRPr="00D85EE4" w:rsidRDefault="008A0E5F" w:rsidP="0045350E">
            <w:pPr>
              <w:rPr>
                <w:sz w:val="18"/>
                <w:szCs w:val="18"/>
              </w:rPr>
            </w:pPr>
            <w:r w:rsidRPr="00D85EE4">
              <w:rPr>
                <w:sz w:val="18"/>
                <w:szCs w:val="18"/>
              </w:rPr>
              <w:t>Brokers: Investors trade these shares among each other through brokers</w:t>
            </w:r>
          </w:p>
        </w:tc>
      </w:tr>
    </w:tbl>
    <w:p w:rsidR="00845FF4" w:rsidRPr="00D85EE4" w:rsidRDefault="00A15E88" w:rsidP="0045350E">
      <w:pPr>
        <w:spacing w:line="240" w:lineRule="auto"/>
        <w:rPr>
          <w:sz w:val="18"/>
          <w:szCs w:val="18"/>
        </w:rPr>
      </w:pPr>
      <w:r w:rsidRPr="0045350E">
        <w:rPr>
          <w:color w:val="00B050"/>
          <w:sz w:val="18"/>
          <w:szCs w:val="18"/>
        </w:rPr>
        <w:t>(B)</w:t>
      </w:r>
      <w:r w:rsidRPr="00D85EE4">
        <w:rPr>
          <w:color w:val="FF0000"/>
          <w:sz w:val="18"/>
          <w:szCs w:val="18"/>
        </w:rPr>
        <w:br/>
      </w:r>
      <w:r w:rsidRPr="00D85EE4">
        <w:rPr>
          <w:sz w:val="18"/>
          <w:szCs w:val="18"/>
        </w:rPr>
        <w:t xml:space="preserve"> </w:t>
      </w:r>
      <w:r w:rsidR="00845FF4" w:rsidRPr="00D85EE4">
        <w:rPr>
          <w:sz w:val="18"/>
          <w:szCs w:val="18"/>
        </w:rPr>
        <w:t>Everybody who owns one share of any sort owns one share of the company. That is “real” ownership.</w:t>
      </w:r>
    </w:p>
    <w:p w:rsidR="00800489" w:rsidRPr="00D85EE4" w:rsidRDefault="00845FF4" w:rsidP="0045350E">
      <w:pPr>
        <w:spacing w:line="240" w:lineRule="auto"/>
        <w:rPr>
          <w:sz w:val="18"/>
          <w:szCs w:val="18"/>
        </w:rPr>
      </w:pPr>
      <w:r w:rsidRPr="00D85EE4">
        <w:rPr>
          <w:sz w:val="18"/>
          <w:szCs w:val="18"/>
        </w:rPr>
        <w:t>Different shareholders may have different rights over the company and entitlements in terms of control, dividends, power and influence, shareholder rights, serving as a Board member or executive employee, and so on. Depending on the exact terms of the contracts governing shares, preferred shareholders may have significant rights to control the company’s decision, preferential rights to get paid, and so on. But that does not mean they own any more than one share of the company for every share they own.</w:t>
      </w:r>
    </w:p>
    <w:p w:rsidR="00F66350" w:rsidRPr="00D85EE4" w:rsidRDefault="00845FF4" w:rsidP="0045350E">
      <w:pPr>
        <w:spacing w:line="240" w:lineRule="auto"/>
        <w:rPr>
          <w:sz w:val="18"/>
          <w:szCs w:val="18"/>
        </w:rPr>
      </w:pPr>
      <w:r w:rsidRPr="00D85EE4">
        <w:rPr>
          <w:sz w:val="18"/>
          <w:szCs w:val="18"/>
        </w:rPr>
        <w:t>By conventional venture capital standards, preferred investors typically own a minority share of the company, so they are the opposite of the real owners. They have a lot of extra rights to protect their interests despite the minority position.</w:t>
      </w:r>
    </w:p>
    <w:sectPr w:rsidR="00F66350" w:rsidRPr="00D85EE4" w:rsidSect="00A84F58">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EA9" w:rsidRDefault="00715EA9" w:rsidP="00845FF4">
      <w:pPr>
        <w:spacing w:after="0" w:line="240" w:lineRule="auto"/>
      </w:pPr>
      <w:r>
        <w:separator/>
      </w:r>
    </w:p>
  </w:endnote>
  <w:endnote w:type="continuationSeparator" w:id="0">
    <w:p w:rsidR="00715EA9" w:rsidRDefault="00715EA9" w:rsidP="0084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EA9" w:rsidRDefault="00715EA9" w:rsidP="00845FF4">
      <w:pPr>
        <w:spacing w:after="0" w:line="240" w:lineRule="auto"/>
      </w:pPr>
      <w:r>
        <w:separator/>
      </w:r>
    </w:p>
  </w:footnote>
  <w:footnote w:type="continuationSeparator" w:id="0">
    <w:p w:rsidR="00715EA9" w:rsidRDefault="00715EA9" w:rsidP="00845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45B4A"/>
    <w:multiLevelType w:val="multilevel"/>
    <w:tmpl w:val="DFF8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4E"/>
    <w:rsid w:val="000E71D3"/>
    <w:rsid w:val="00170311"/>
    <w:rsid w:val="00194043"/>
    <w:rsid w:val="001A2B30"/>
    <w:rsid w:val="002749AA"/>
    <w:rsid w:val="00311C38"/>
    <w:rsid w:val="00384DE8"/>
    <w:rsid w:val="0045350E"/>
    <w:rsid w:val="004566D7"/>
    <w:rsid w:val="004654E0"/>
    <w:rsid w:val="00487491"/>
    <w:rsid w:val="00490DF7"/>
    <w:rsid w:val="00500DC7"/>
    <w:rsid w:val="0051269C"/>
    <w:rsid w:val="00523934"/>
    <w:rsid w:val="0054194E"/>
    <w:rsid w:val="005B6D99"/>
    <w:rsid w:val="00602843"/>
    <w:rsid w:val="00654176"/>
    <w:rsid w:val="006569B4"/>
    <w:rsid w:val="00685A02"/>
    <w:rsid w:val="006B27BC"/>
    <w:rsid w:val="006D447F"/>
    <w:rsid w:val="006D4960"/>
    <w:rsid w:val="007028D2"/>
    <w:rsid w:val="00715EA9"/>
    <w:rsid w:val="00727B63"/>
    <w:rsid w:val="00734C61"/>
    <w:rsid w:val="00793599"/>
    <w:rsid w:val="00800489"/>
    <w:rsid w:val="00800EAE"/>
    <w:rsid w:val="00827E22"/>
    <w:rsid w:val="00845FF4"/>
    <w:rsid w:val="00861EF3"/>
    <w:rsid w:val="008A0E5F"/>
    <w:rsid w:val="008C1CBC"/>
    <w:rsid w:val="008D57CF"/>
    <w:rsid w:val="009215AE"/>
    <w:rsid w:val="009320B0"/>
    <w:rsid w:val="00A15E88"/>
    <w:rsid w:val="00A569FF"/>
    <w:rsid w:val="00A84F58"/>
    <w:rsid w:val="00AE5B77"/>
    <w:rsid w:val="00B25696"/>
    <w:rsid w:val="00C42D5D"/>
    <w:rsid w:val="00C4668E"/>
    <w:rsid w:val="00C53FB6"/>
    <w:rsid w:val="00D11BCC"/>
    <w:rsid w:val="00D14629"/>
    <w:rsid w:val="00D248D2"/>
    <w:rsid w:val="00D4204C"/>
    <w:rsid w:val="00D85EE4"/>
    <w:rsid w:val="00E72506"/>
    <w:rsid w:val="00F4405C"/>
    <w:rsid w:val="00F66350"/>
    <w:rsid w:val="00FA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030C59D-E0D5-0E4A-8791-91B6E9DD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491"/>
    <w:pPr>
      <w:spacing w:after="0" w:line="240" w:lineRule="auto"/>
    </w:pPr>
  </w:style>
  <w:style w:type="table" w:styleId="TableGrid">
    <w:name w:val="Table Grid"/>
    <w:basedOn w:val="TableNormal"/>
    <w:uiPriority w:val="59"/>
    <w:rsid w:val="0068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5A02"/>
    <w:rPr>
      <w:b/>
      <w:bCs/>
    </w:rPr>
  </w:style>
  <w:style w:type="paragraph" w:styleId="Header">
    <w:name w:val="header"/>
    <w:basedOn w:val="Normal"/>
    <w:link w:val="HeaderChar"/>
    <w:uiPriority w:val="99"/>
    <w:unhideWhenUsed/>
    <w:rsid w:val="00845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F4"/>
  </w:style>
  <w:style w:type="paragraph" w:styleId="Footer">
    <w:name w:val="footer"/>
    <w:basedOn w:val="Normal"/>
    <w:link w:val="FooterChar"/>
    <w:uiPriority w:val="99"/>
    <w:unhideWhenUsed/>
    <w:rsid w:val="00845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F4"/>
  </w:style>
  <w:style w:type="character" w:customStyle="1" w:styleId="apple-tab-span">
    <w:name w:val="apple-tab-span"/>
    <w:basedOn w:val="DefaultParagraphFont"/>
    <w:rsid w:val="00A5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331">
      <w:bodyDiv w:val="1"/>
      <w:marLeft w:val="0"/>
      <w:marRight w:val="0"/>
      <w:marTop w:val="0"/>
      <w:marBottom w:val="0"/>
      <w:divBdr>
        <w:top w:val="none" w:sz="0" w:space="0" w:color="auto"/>
        <w:left w:val="none" w:sz="0" w:space="0" w:color="auto"/>
        <w:bottom w:val="none" w:sz="0" w:space="0" w:color="auto"/>
        <w:right w:val="none" w:sz="0" w:space="0" w:color="auto"/>
      </w:divBdr>
      <w:divsChild>
        <w:div w:id="2047442726">
          <w:marLeft w:val="0"/>
          <w:marRight w:val="0"/>
          <w:marTop w:val="109"/>
          <w:marBottom w:val="109"/>
          <w:divBdr>
            <w:top w:val="none" w:sz="0" w:space="0" w:color="auto"/>
            <w:left w:val="none" w:sz="0" w:space="0" w:color="auto"/>
            <w:bottom w:val="none" w:sz="0" w:space="0" w:color="auto"/>
            <w:right w:val="none" w:sz="0" w:space="0" w:color="auto"/>
          </w:divBdr>
        </w:div>
      </w:divsChild>
    </w:div>
    <w:div w:id="179587043">
      <w:bodyDiv w:val="1"/>
      <w:marLeft w:val="0"/>
      <w:marRight w:val="0"/>
      <w:marTop w:val="0"/>
      <w:marBottom w:val="0"/>
      <w:divBdr>
        <w:top w:val="none" w:sz="0" w:space="0" w:color="auto"/>
        <w:left w:val="none" w:sz="0" w:space="0" w:color="auto"/>
        <w:bottom w:val="none" w:sz="0" w:space="0" w:color="auto"/>
        <w:right w:val="none" w:sz="0" w:space="0" w:color="auto"/>
      </w:divBdr>
    </w:div>
    <w:div w:id="250090609">
      <w:bodyDiv w:val="1"/>
      <w:marLeft w:val="0"/>
      <w:marRight w:val="0"/>
      <w:marTop w:val="0"/>
      <w:marBottom w:val="0"/>
      <w:divBdr>
        <w:top w:val="none" w:sz="0" w:space="0" w:color="auto"/>
        <w:left w:val="none" w:sz="0" w:space="0" w:color="auto"/>
        <w:bottom w:val="none" w:sz="0" w:space="0" w:color="auto"/>
        <w:right w:val="none" w:sz="0" w:space="0" w:color="auto"/>
      </w:divBdr>
    </w:div>
    <w:div w:id="599722219">
      <w:bodyDiv w:val="1"/>
      <w:marLeft w:val="0"/>
      <w:marRight w:val="0"/>
      <w:marTop w:val="0"/>
      <w:marBottom w:val="0"/>
      <w:divBdr>
        <w:top w:val="none" w:sz="0" w:space="0" w:color="auto"/>
        <w:left w:val="none" w:sz="0" w:space="0" w:color="auto"/>
        <w:bottom w:val="none" w:sz="0" w:space="0" w:color="auto"/>
        <w:right w:val="none" w:sz="0" w:space="0" w:color="auto"/>
      </w:divBdr>
    </w:div>
    <w:div w:id="721562082">
      <w:bodyDiv w:val="1"/>
      <w:marLeft w:val="0"/>
      <w:marRight w:val="0"/>
      <w:marTop w:val="0"/>
      <w:marBottom w:val="0"/>
      <w:divBdr>
        <w:top w:val="none" w:sz="0" w:space="0" w:color="auto"/>
        <w:left w:val="none" w:sz="0" w:space="0" w:color="auto"/>
        <w:bottom w:val="none" w:sz="0" w:space="0" w:color="auto"/>
        <w:right w:val="none" w:sz="0" w:space="0" w:color="auto"/>
      </w:divBdr>
    </w:div>
    <w:div w:id="1253507990">
      <w:bodyDiv w:val="1"/>
      <w:marLeft w:val="0"/>
      <w:marRight w:val="0"/>
      <w:marTop w:val="0"/>
      <w:marBottom w:val="0"/>
      <w:divBdr>
        <w:top w:val="none" w:sz="0" w:space="0" w:color="auto"/>
        <w:left w:val="none" w:sz="0" w:space="0" w:color="auto"/>
        <w:bottom w:val="none" w:sz="0" w:space="0" w:color="auto"/>
        <w:right w:val="none" w:sz="0" w:space="0" w:color="auto"/>
      </w:divBdr>
    </w:div>
    <w:div w:id="1255481829">
      <w:bodyDiv w:val="1"/>
      <w:marLeft w:val="0"/>
      <w:marRight w:val="0"/>
      <w:marTop w:val="0"/>
      <w:marBottom w:val="0"/>
      <w:divBdr>
        <w:top w:val="none" w:sz="0" w:space="0" w:color="auto"/>
        <w:left w:val="none" w:sz="0" w:space="0" w:color="auto"/>
        <w:bottom w:val="none" w:sz="0" w:space="0" w:color="auto"/>
        <w:right w:val="none" w:sz="0" w:space="0" w:color="auto"/>
      </w:divBdr>
    </w:div>
    <w:div w:id="1498613007">
      <w:bodyDiv w:val="1"/>
      <w:marLeft w:val="0"/>
      <w:marRight w:val="0"/>
      <w:marTop w:val="0"/>
      <w:marBottom w:val="0"/>
      <w:divBdr>
        <w:top w:val="none" w:sz="0" w:space="0" w:color="auto"/>
        <w:left w:val="none" w:sz="0" w:space="0" w:color="auto"/>
        <w:bottom w:val="none" w:sz="0" w:space="0" w:color="auto"/>
        <w:right w:val="none" w:sz="0" w:space="0" w:color="auto"/>
      </w:divBdr>
    </w:div>
    <w:div w:id="1610236271">
      <w:bodyDiv w:val="1"/>
      <w:marLeft w:val="0"/>
      <w:marRight w:val="0"/>
      <w:marTop w:val="0"/>
      <w:marBottom w:val="0"/>
      <w:divBdr>
        <w:top w:val="none" w:sz="0" w:space="0" w:color="auto"/>
        <w:left w:val="none" w:sz="0" w:space="0" w:color="auto"/>
        <w:bottom w:val="none" w:sz="0" w:space="0" w:color="auto"/>
        <w:right w:val="none" w:sz="0" w:space="0" w:color="auto"/>
      </w:divBdr>
    </w:div>
    <w:div w:id="1690523663">
      <w:bodyDiv w:val="1"/>
      <w:marLeft w:val="0"/>
      <w:marRight w:val="0"/>
      <w:marTop w:val="0"/>
      <w:marBottom w:val="0"/>
      <w:divBdr>
        <w:top w:val="none" w:sz="0" w:space="0" w:color="auto"/>
        <w:left w:val="none" w:sz="0" w:space="0" w:color="auto"/>
        <w:bottom w:val="none" w:sz="0" w:space="0" w:color="auto"/>
        <w:right w:val="none" w:sz="0" w:space="0" w:color="auto"/>
      </w:divBdr>
    </w:div>
    <w:div w:id="1714424300">
      <w:bodyDiv w:val="1"/>
      <w:marLeft w:val="0"/>
      <w:marRight w:val="0"/>
      <w:marTop w:val="0"/>
      <w:marBottom w:val="0"/>
      <w:divBdr>
        <w:top w:val="none" w:sz="0" w:space="0" w:color="auto"/>
        <w:left w:val="none" w:sz="0" w:space="0" w:color="auto"/>
        <w:bottom w:val="none" w:sz="0" w:space="0" w:color="auto"/>
        <w:right w:val="none" w:sz="0" w:space="0" w:color="auto"/>
      </w:divBdr>
    </w:div>
    <w:div w:id="20756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dc:creator>
  <cp:lastModifiedBy/>
  <cp:revision>2</cp:revision>
  <dcterms:created xsi:type="dcterms:W3CDTF">2020-06-20T07:06:00Z</dcterms:created>
  <dcterms:modified xsi:type="dcterms:W3CDTF">2020-06-20T07:06:00Z</dcterms:modified>
</cp:coreProperties>
</file>