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77" w:rsidRPr="00980206" w:rsidRDefault="00B94E77" w:rsidP="00B94E77">
      <w:pPr>
        <w:ind w:left="1440"/>
        <w:jc w:val="both"/>
        <w:rPr>
          <w:b/>
          <w:sz w:val="32"/>
        </w:rPr>
      </w:pPr>
      <w:r w:rsidRPr="00980206">
        <w:rPr>
          <w:b/>
          <w:sz w:val="32"/>
        </w:rPr>
        <w:t>Name:</w:t>
      </w:r>
      <w:r w:rsidRPr="00980206">
        <w:rPr>
          <w:b/>
          <w:sz w:val="32"/>
        </w:rPr>
        <w:tab/>
      </w:r>
      <w:r w:rsidRPr="00980206">
        <w:rPr>
          <w:b/>
          <w:sz w:val="32"/>
        </w:rPr>
        <w:tab/>
      </w:r>
      <w:r w:rsidRPr="00980206">
        <w:rPr>
          <w:b/>
          <w:sz w:val="32"/>
        </w:rPr>
        <w:tab/>
        <w:t>Ab</w:t>
      </w:r>
      <w:bookmarkStart w:id="0" w:name="_GoBack"/>
      <w:bookmarkEnd w:id="0"/>
      <w:r w:rsidRPr="00980206">
        <w:rPr>
          <w:b/>
          <w:sz w:val="32"/>
        </w:rPr>
        <w:t xml:space="preserve">dul </w:t>
      </w:r>
      <w:proofErr w:type="spellStart"/>
      <w:r w:rsidRPr="00980206">
        <w:rPr>
          <w:b/>
          <w:sz w:val="32"/>
        </w:rPr>
        <w:t>Haseeb</w:t>
      </w:r>
      <w:proofErr w:type="spellEnd"/>
    </w:p>
    <w:p w:rsidR="00B94E77" w:rsidRPr="00980206" w:rsidRDefault="00B94E77" w:rsidP="00B94E77">
      <w:pPr>
        <w:ind w:left="1440"/>
        <w:jc w:val="both"/>
        <w:rPr>
          <w:b/>
          <w:sz w:val="32"/>
        </w:rPr>
      </w:pPr>
      <w:r w:rsidRPr="00980206">
        <w:rPr>
          <w:b/>
          <w:sz w:val="32"/>
        </w:rPr>
        <w:t>ID:</w:t>
      </w:r>
      <w:r w:rsidRPr="00980206">
        <w:rPr>
          <w:b/>
          <w:sz w:val="32"/>
        </w:rPr>
        <w:tab/>
      </w:r>
      <w:r w:rsidRPr="00980206">
        <w:rPr>
          <w:b/>
          <w:sz w:val="32"/>
        </w:rPr>
        <w:tab/>
      </w:r>
      <w:r w:rsidRPr="00980206">
        <w:rPr>
          <w:b/>
          <w:sz w:val="32"/>
        </w:rPr>
        <w:tab/>
      </w:r>
      <w:r w:rsidRPr="00980206">
        <w:rPr>
          <w:b/>
          <w:sz w:val="32"/>
        </w:rPr>
        <w:tab/>
        <w:t>16542</w:t>
      </w:r>
    </w:p>
    <w:p w:rsidR="00B94E77" w:rsidRPr="00980206" w:rsidRDefault="00B94E77" w:rsidP="00B94E77">
      <w:pPr>
        <w:ind w:left="1440"/>
        <w:jc w:val="both"/>
        <w:rPr>
          <w:b/>
          <w:sz w:val="32"/>
        </w:rPr>
      </w:pPr>
      <w:r w:rsidRPr="00980206">
        <w:rPr>
          <w:b/>
          <w:sz w:val="32"/>
        </w:rPr>
        <w:t xml:space="preserve">Assignment of: </w:t>
      </w:r>
      <w:r w:rsidRPr="00980206">
        <w:rPr>
          <w:b/>
          <w:sz w:val="32"/>
        </w:rPr>
        <w:tab/>
      </w:r>
      <w:r w:rsidRPr="00980206">
        <w:rPr>
          <w:b/>
          <w:sz w:val="32"/>
        </w:rPr>
        <w:tab/>
        <w:t>Financial</w:t>
      </w:r>
      <w:r>
        <w:rPr>
          <w:b/>
          <w:sz w:val="32"/>
        </w:rPr>
        <w:t xml:space="preserve"> Risk</w:t>
      </w:r>
      <w:r w:rsidRPr="00980206">
        <w:rPr>
          <w:b/>
          <w:sz w:val="32"/>
        </w:rPr>
        <w:t xml:space="preserve"> Management</w:t>
      </w:r>
    </w:p>
    <w:p w:rsidR="00B94E77" w:rsidRPr="00980206" w:rsidRDefault="00B94E77" w:rsidP="00B94E77">
      <w:pPr>
        <w:ind w:left="1440"/>
        <w:jc w:val="both"/>
        <w:rPr>
          <w:b/>
          <w:sz w:val="32"/>
        </w:rPr>
      </w:pPr>
      <w:r w:rsidRPr="00980206">
        <w:rPr>
          <w:b/>
          <w:sz w:val="32"/>
        </w:rPr>
        <w:t>Submitted to:</w:t>
      </w:r>
      <w:r w:rsidRPr="00980206">
        <w:rPr>
          <w:b/>
          <w:sz w:val="32"/>
        </w:rPr>
        <w:tab/>
      </w:r>
      <w:r w:rsidRPr="00980206">
        <w:rPr>
          <w:b/>
          <w:sz w:val="32"/>
        </w:rPr>
        <w:tab/>
      </w:r>
      <w:proofErr w:type="spellStart"/>
      <w:r w:rsidRPr="00980206">
        <w:rPr>
          <w:b/>
          <w:sz w:val="32"/>
        </w:rPr>
        <w:t>Maam</w:t>
      </w:r>
      <w:proofErr w:type="spellEnd"/>
      <w:r w:rsidRPr="00980206">
        <w:rPr>
          <w:b/>
          <w:sz w:val="32"/>
        </w:rPr>
        <w:t xml:space="preserve"> Maryam </w:t>
      </w:r>
      <w:proofErr w:type="spellStart"/>
      <w:r w:rsidRPr="00980206">
        <w:rPr>
          <w:b/>
          <w:sz w:val="32"/>
        </w:rPr>
        <w:t>Saleem</w:t>
      </w:r>
      <w:proofErr w:type="spellEnd"/>
    </w:p>
    <w:p w:rsidR="00B94E77" w:rsidRPr="00980206" w:rsidRDefault="00867F4E" w:rsidP="00B94E77">
      <w:pPr>
        <w:ind w:left="1440"/>
        <w:jc w:val="both"/>
        <w:rPr>
          <w:b/>
          <w:sz w:val="32"/>
        </w:rPr>
      </w:pPr>
      <w:r>
        <w:rPr>
          <w:b/>
          <w:sz w:val="32"/>
        </w:rPr>
        <w:t>Date of submission:</w:t>
      </w:r>
      <w:r>
        <w:rPr>
          <w:b/>
          <w:sz w:val="32"/>
        </w:rPr>
        <w:tab/>
        <w:t>29</w:t>
      </w:r>
      <w:r w:rsidR="00B94E77" w:rsidRPr="00980206">
        <w:rPr>
          <w:b/>
          <w:sz w:val="32"/>
        </w:rPr>
        <w:t>/05/2020</w:t>
      </w:r>
    </w:p>
    <w:p w:rsidR="007621E6" w:rsidRDefault="00B94E77" w:rsidP="007621E6">
      <w:pPr>
        <w:jc w:val="center"/>
        <w:rPr>
          <w:b/>
          <w:color w:val="4472C4" w:themeColor="accent5"/>
          <w:sz w:val="28"/>
        </w:rPr>
      </w:pPr>
      <w:r>
        <w:br w:type="page"/>
      </w:r>
      <w:r w:rsidR="007621E6" w:rsidRPr="002B59AF">
        <w:rPr>
          <w:b/>
          <w:color w:val="4472C4" w:themeColor="accent5"/>
          <w:sz w:val="36"/>
        </w:rPr>
        <w:lastRenderedPageBreak/>
        <w:t>Question 1</w:t>
      </w:r>
    </w:p>
    <w:p w:rsidR="002B59AF" w:rsidRPr="002B59AF" w:rsidRDefault="002B59AF" w:rsidP="002B59AF">
      <w:pPr>
        <w:jc w:val="both"/>
        <w:rPr>
          <w:b/>
          <w:color w:val="538135" w:themeColor="accent6" w:themeShade="BF"/>
          <w:sz w:val="28"/>
        </w:rPr>
      </w:pPr>
      <w:r w:rsidRPr="002B59AF">
        <w:rPr>
          <w:b/>
          <w:color w:val="538135" w:themeColor="accent6" w:themeShade="BF"/>
          <w:sz w:val="28"/>
        </w:rPr>
        <w:t>Answer:</w:t>
      </w:r>
    </w:p>
    <w:p w:rsidR="007621E6" w:rsidRPr="002B59AF" w:rsidRDefault="007621E6" w:rsidP="002B59AF">
      <w:pPr>
        <w:jc w:val="both"/>
        <w:rPr>
          <w:sz w:val="28"/>
        </w:rPr>
      </w:pPr>
      <w:r w:rsidRPr="002B59AF">
        <w:rPr>
          <w:sz w:val="28"/>
        </w:rPr>
        <w:t>Ali will bear interest rate risk. He will lose money if interest rate rise.</w:t>
      </w:r>
      <w:r w:rsidR="00F37608">
        <w:rPr>
          <w:sz w:val="28"/>
        </w:rPr>
        <w:t xml:space="preserve"> I suggest to him for hedging this risk that</w:t>
      </w:r>
      <w:r w:rsidRPr="002B59AF">
        <w:rPr>
          <w:sz w:val="28"/>
        </w:rPr>
        <w:t xml:space="preserve"> Ali should use short hedge method. He should sell 2 months Treasury bond future contract because with rise in interest rates, the price of mortgage as well as T. Bonds will fall. His loss on mortgage is offset by the profit on short hedge of T. Bonds.</w:t>
      </w:r>
    </w:p>
    <w:p w:rsidR="007621E6" w:rsidRPr="007621E6" w:rsidRDefault="007621E6" w:rsidP="002B59AF">
      <w:pPr>
        <w:jc w:val="both"/>
      </w:pPr>
      <w:r w:rsidRPr="002B59AF">
        <w:rPr>
          <w:sz w:val="28"/>
        </w:rPr>
        <w:t>But in this way it may not hedge the risk properly. So th</w:t>
      </w:r>
      <w:r w:rsidR="002B59AF" w:rsidRPr="002B59AF">
        <w:rPr>
          <w:sz w:val="28"/>
        </w:rPr>
        <w:t>e long hedge is perfect for hedging this kind of risk. He should buy future contract to reduce the risk when interest rates fall. Because the value of his future contract will be increase if interest rates fall.</w:t>
      </w:r>
      <w:r w:rsidRPr="002B59AF">
        <w:rPr>
          <w:sz w:val="28"/>
        </w:rPr>
        <w:t xml:space="preserve"> </w:t>
      </w:r>
      <w:r w:rsidR="002B59AF" w:rsidRPr="002B59AF">
        <w:rPr>
          <w:sz w:val="28"/>
        </w:rPr>
        <w:t>Conversely he will gain in the cash market when in interest rates rise. When interest rates will fall, he will get loss in mortgage and profit in future market. And when interest rate will rise, he will get profit in mortgage and loss in future market.</w:t>
      </w:r>
      <w:r w:rsidR="00F37608">
        <w:rPr>
          <w:sz w:val="28"/>
        </w:rPr>
        <w:t xml:space="preserve"> So this method is good for Ali. Doing this he will get profit and will not face losses.</w:t>
      </w:r>
      <w:r w:rsidRPr="007621E6">
        <w:rPr>
          <w:b/>
        </w:rPr>
        <w:br w:type="page"/>
      </w:r>
    </w:p>
    <w:p w:rsidR="00B94E77" w:rsidRDefault="002B59AF" w:rsidP="002B59AF">
      <w:pPr>
        <w:jc w:val="center"/>
        <w:rPr>
          <w:b/>
          <w:color w:val="4472C4" w:themeColor="accent5"/>
          <w:sz w:val="36"/>
        </w:rPr>
      </w:pPr>
      <w:r w:rsidRPr="002B59AF">
        <w:rPr>
          <w:b/>
          <w:color w:val="4472C4" w:themeColor="accent5"/>
          <w:sz w:val="36"/>
        </w:rPr>
        <w:lastRenderedPageBreak/>
        <w:t xml:space="preserve">Question </w:t>
      </w:r>
      <w:r>
        <w:rPr>
          <w:b/>
          <w:color w:val="4472C4" w:themeColor="accent5"/>
          <w:sz w:val="36"/>
        </w:rPr>
        <w:t>2:</w:t>
      </w:r>
    </w:p>
    <w:p w:rsidR="002B59AF" w:rsidRDefault="002B59AF" w:rsidP="002B59AF">
      <w:pPr>
        <w:rPr>
          <w:b/>
          <w:color w:val="538135" w:themeColor="accent6" w:themeShade="BF"/>
          <w:sz w:val="32"/>
        </w:rPr>
      </w:pPr>
      <w:r w:rsidRPr="002B59AF">
        <w:rPr>
          <w:b/>
          <w:color w:val="538135" w:themeColor="accent6" w:themeShade="BF"/>
          <w:sz w:val="32"/>
        </w:rPr>
        <w:t>Answer:</w:t>
      </w:r>
    </w:p>
    <w:p w:rsidR="002B59AF" w:rsidRPr="002B59AF" w:rsidRDefault="002B59AF" w:rsidP="002B59AF">
      <w:pPr>
        <w:rPr>
          <w:color w:val="538135" w:themeColor="accent6" w:themeShade="BF"/>
          <w:sz w:val="20"/>
        </w:rPr>
      </w:pPr>
    </w:p>
    <w:tbl>
      <w:tblPr>
        <w:tblStyle w:val="GridTable1Light-Accent6"/>
        <w:tblW w:w="10012" w:type="dxa"/>
        <w:tblLook w:val="04A0" w:firstRow="1" w:lastRow="0" w:firstColumn="1" w:lastColumn="0" w:noHBand="0" w:noVBand="1"/>
      </w:tblPr>
      <w:tblGrid>
        <w:gridCol w:w="10012"/>
      </w:tblGrid>
      <w:tr w:rsidR="00E45972" w:rsidRPr="00E45972" w:rsidTr="00115465">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E45972" w:rsidRPr="00E45972" w:rsidRDefault="00E45972" w:rsidP="001A5C3E">
            <w:r w:rsidRPr="00115465">
              <w:rPr>
                <w:color w:val="1F3864" w:themeColor="accent5" w:themeShade="80"/>
                <w:sz w:val="24"/>
              </w:rPr>
              <w:t>Interest rate</w:t>
            </w:r>
            <w:r w:rsidRPr="00115465">
              <w:rPr>
                <w:color w:val="1F3864" w:themeColor="accent5" w:themeShade="80"/>
              </w:rPr>
              <w:tab/>
            </w:r>
            <w:r w:rsidRPr="00115465">
              <w:rPr>
                <w:color w:val="1F3864" w:themeColor="accent5" w:themeShade="80"/>
              </w:rPr>
              <w:tab/>
            </w:r>
            <w:r w:rsidRPr="00115465">
              <w:rPr>
                <w:color w:val="1F3864" w:themeColor="accent5" w:themeShade="80"/>
                <w:sz w:val="24"/>
              </w:rPr>
              <w:t>One year pure Discount Bond</w:t>
            </w:r>
            <w:r w:rsidR="00115465" w:rsidRPr="00115465">
              <w:rPr>
                <w:color w:val="1F3864" w:themeColor="accent5" w:themeShade="80"/>
              </w:rPr>
              <w:tab/>
              <w:t xml:space="preserve">        </w:t>
            </w:r>
            <w:r w:rsidRPr="00115465">
              <w:rPr>
                <w:color w:val="1F3864" w:themeColor="accent5" w:themeShade="80"/>
                <w:sz w:val="24"/>
              </w:rPr>
              <w:t>Five years pure Discount Bond</w:t>
            </w:r>
          </w:p>
        </w:tc>
      </w:tr>
      <w:tr w:rsidR="00E45972" w:rsidRPr="00E45972" w:rsidTr="00115465">
        <w:trPr>
          <w:trHeight w:val="2324"/>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115465" w:rsidRDefault="00115465" w:rsidP="001A5C3E"/>
          <w:p w:rsidR="00115465" w:rsidRDefault="00E45972" w:rsidP="001A5C3E">
            <w:pPr>
              <w:rPr>
                <w:rFonts w:eastAsiaTheme="minorEastAsia"/>
                <w:sz w:val="28"/>
              </w:rPr>
            </w:pPr>
            <w:r w:rsidRPr="00E45972">
              <w:t>6%</w:t>
            </w:r>
            <w:r w:rsidRPr="00E45972">
              <w:tab/>
            </w:r>
            <w:r w:rsidRPr="00E45972">
              <w:tab/>
            </w:r>
            <w:r w:rsidRPr="00E45972">
              <w:tab/>
              <w:t xml:space="preserve">1,018.86   =  </w:t>
            </w:r>
            <m:oMath>
              <m:f>
                <m:fPr>
                  <m:ctrlPr>
                    <w:rPr>
                      <w:rFonts w:ascii="Cambria Math" w:hAnsi="Cambria Math"/>
                      <w:b w:val="0"/>
                      <w:bCs w:val="0"/>
                      <w:i/>
                      <w:sz w:val="28"/>
                    </w:rPr>
                  </m:ctrlPr>
                </m:fPr>
                <m:num>
                  <m:r>
                    <m:rPr>
                      <m:sty m:val="bi"/>
                    </m:rPr>
                    <w:rPr>
                      <w:rFonts w:ascii="Cambria Math" w:hAnsi="Cambria Math"/>
                      <w:sz w:val="28"/>
                    </w:rPr>
                    <m:t>1080</m:t>
                  </m:r>
                </m:num>
                <m:den>
                  <m:r>
                    <m:rPr>
                      <m:sty m:val="bi"/>
                    </m:rPr>
                    <w:rPr>
                      <w:rFonts w:ascii="Cambria Math" w:hAnsi="Cambria Math"/>
                      <w:sz w:val="28"/>
                    </w:rPr>
                    <m:t>1.06</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tab/>
              <w:t xml:space="preserve">  </w:t>
            </w:r>
            <m:oMath>
              <m:f>
                <m:fPr>
                  <m:ctrlPr>
                    <w:rPr>
                      <w:rFonts w:ascii="Cambria Math" w:hAnsi="Cambria Math"/>
                      <w:b w:val="0"/>
                      <w:bCs w:val="0"/>
                      <w:i/>
                      <w:sz w:val="28"/>
                    </w:rPr>
                  </m:ctrlPr>
                </m:fPr>
                <m:num>
                  <m:r>
                    <m:rPr>
                      <m:sty m:val="bi"/>
                    </m:rPr>
                    <w:rPr>
                      <w:rFonts w:ascii="Cambria Math" w:hAnsi="Cambria Math"/>
                      <w:sz w:val="28"/>
                    </w:rPr>
                    <m:t>1469.32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1.06</m:t>
                          </m:r>
                        </m:e>
                      </m:d>
                    </m:e>
                    <m:sup>
                      <m:r>
                        <m:rPr>
                          <m:sty m:val="bi"/>
                        </m:rPr>
                        <w:rPr>
                          <w:rFonts w:ascii="Cambria Math" w:hAnsi="Cambria Math"/>
                          <w:sz w:val="28"/>
                        </w:rPr>
                        <m:t>5</m:t>
                      </m:r>
                    </m:sup>
                  </m:sSup>
                </m:den>
              </m:f>
            </m:oMath>
            <w:r w:rsidRPr="00E45972">
              <w:rPr>
                <w:rFonts w:eastAsiaTheme="minorEastAsia"/>
                <w:sz w:val="28"/>
              </w:rPr>
              <w:t xml:space="preserve"> </w:t>
            </w:r>
          </w:p>
          <w:p w:rsidR="00E45972" w:rsidRPr="00E45972" w:rsidRDefault="00E45972" w:rsidP="001A5C3E">
            <w:r w:rsidRPr="00E45972">
              <w:rPr>
                <w:rFonts w:eastAsiaTheme="minorEastAsia"/>
                <w:sz w:val="28"/>
              </w:rPr>
              <w:tab/>
            </w:r>
          </w:p>
          <w:p w:rsidR="00E45972" w:rsidRPr="00E45972" w:rsidRDefault="00E45972" w:rsidP="001A5C3E">
            <w:r w:rsidRPr="00E45972">
              <w:tab/>
            </w:r>
            <w:r w:rsidRPr="00E45972">
              <w:tab/>
            </w:r>
            <w:r w:rsidRPr="00E45972">
              <w:tab/>
            </w:r>
            <w:r w:rsidRPr="00E45972">
              <w:tab/>
            </w:r>
            <w:r w:rsidRPr="00E45972">
              <w:tab/>
            </w:r>
            <w:r w:rsidRPr="00E45972">
              <w:tab/>
            </w:r>
            <w:r w:rsidRPr="00E45972">
              <w:tab/>
            </w:r>
            <w:r w:rsidRPr="00E45972">
              <w:tab/>
              <w:t xml:space="preserve">       1,097.98   =   </w:t>
            </w:r>
            <m:oMath>
              <m:f>
                <m:fPr>
                  <m:ctrlPr>
                    <w:rPr>
                      <w:rFonts w:ascii="Cambria Math" w:hAnsi="Cambria Math"/>
                      <w:b w:val="0"/>
                      <w:bCs w:val="0"/>
                      <w:i/>
                      <w:sz w:val="28"/>
                    </w:rPr>
                  </m:ctrlPr>
                </m:fPr>
                <m:num>
                  <m:r>
                    <m:rPr>
                      <m:sty m:val="bi"/>
                    </m:rPr>
                    <w:rPr>
                      <w:rFonts w:ascii="Cambria Math" w:hAnsi="Cambria Math"/>
                      <w:sz w:val="28"/>
                    </w:rPr>
                    <m:t>1469.32</m:t>
                  </m:r>
                </m:num>
                <m:den>
                  <m:r>
                    <m:rPr>
                      <m:sty m:val="bi"/>
                    </m:rPr>
                    <w:rPr>
                      <w:rFonts w:ascii="Cambria Math" w:hAnsi="Cambria Math"/>
                      <w:sz w:val="28"/>
                    </w:rPr>
                    <m:t>1.3382</m:t>
                  </m:r>
                </m:den>
              </m:f>
            </m:oMath>
            <w:r w:rsidRPr="00E45972">
              <w:tab/>
            </w:r>
            <w:r w:rsidRPr="00E45972">
              <w:tab/>
            </w:r>
            <w:r w:rsidRPr="00E45972">
              <w:tab/>
            </w:r>
          </w:p>
        </w:tc>
      </w:tr>
      <w:tr w:rsidR="00E45972" w:rsidRPr="00E45972" w:rsidTr="00115465">
        <w:trPr>
          <w:trHeight w:val="2342"/>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115465" w:rsidRDefault="00115465" w:rsidP="001A5C3E"/>
          <w:p w:rsidR="00E45972" w:rsidRDefault="00E45972" w:rsidP="001A5C3E">
            <w:pPr>
              <w:rPr>
                <w:rFonts w:eastAsiaTheme="minorEastAsia"/>
                <w:b w:val="0"/>
                <w:bCs w:val="0"/>
                <w:sz w:val="28"/>
              </w:rPr>
            </w:pPr>
            <w:r w:rsidRPr="00E45972">
              <w:t>8%</w:t>
            </w:r>
            <w:r w:rsidRPr="00E45972">
              <w:tab/>
            </w:r>
            <w:r w:rsidRPr="00E45972">
              <w:tab/>
            </w:r>
            <w:r w:rsidRPr="00E45972">
              <w:tab/>
              <w:t xml:space="preserve">     1,000   =  </w:t>
            </w:r>
            <m:oMath>
              <m:f>
                <m:fPr>
                  <m:ctrlPr>
                    <w:rPr>
                      <w:rFonts w:ascii="Cambria Math" w:hAnsi="Cambria Math"/>
                      <w:b w:val="0"/>
                      <w:bCs w:val="0"/>
                      <w:i/>
                      <w:sz w:val="28"/>
                    </w:rPr>
                  </m:ctrlPr>
                </m:fPr>
                <m:num>
                  <m:r>
                    <m:rPr>
                      <m:sty m:val="bi"/>
                    </m:rPr>
                    <w:rPr>
                      <w:rFonts w:ascii="Cambria Math" w:hAnsi="Cambria Math"/>
                      <w:sz w:val="28"/>
                    </w:rPr>
                    <m:t>1080</m:t>
                  </m:r>
                </m:num>
                <m:den>
                  <m:r>
                    <m:rPr>
                      <m:sty m:val="bi"/>
                    </m:rPr>
                    <w:rPr>
                      <w:rFonts w:ascii="Cambria Math" w:hAnsi="Cambria Math"/>
                      <w:sz w:val="28"/>
                    </w:rPr>
                    <m:t>1.08</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m:oMath>
              <m:f>
                <m:fPr>
                  <m:ctrlPr>
                    <w:rPr>
                      <w:rFonts w:ascii="Cambria Math" w:hAnsi="Cambria Math"/>
                      <w:b w:val="0"/>
                      <w:bCs w:val="0"/>
                      <w:i/>
                      <w:sz w:val="28"/>
                    </w:rPr>
                  </m:ctrlPr>
                </m:fPr>
                <m:num>
                  <m:r>
                    <m:rPr>
                      <m:sty m:val="bi"/>
                    </m:rPr>
                    <w:rPr>
                      <w:rFonts w:ascii="Cambria Math" w:hAnsi="Cambria Math"/>
                      <w:sz w:val="28"/>
                    </w:rPr>
                    <m:t>1469.32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1.08</m:t>
                          </m:r>
                        </m:e>
                      </m:d>
                    </m:e>
                    <m:sup>
                      <m:r>
                        <m:rPr>
                          <m:sty m:val="bi"/>
                        </m:rPr>
                        <w:rPr>
                          <w:rFonts w:ascii="Cambria Math" w:hAnsi="Cambria Math"/>
                          <w:sz w:val="28"/>
                        </w:rPr>
                        <m:t>5</m:t>
                      </m:r>
                    </m:sup>
                  </m:sSup>
                </m:den>
              </m:f>
            </m:oMath>
          </w:p>
          <w:p w:rsidR="00115465" w:rsidRPr="00E45972" w:rsidRDefault="00115465" w:rsidP="001A5C3E"/>
          <w:p w:rsidR="00E45972" w:rsidRPr="00E45972" w:rsidRDefault="00E45972" w:rsidP="001A5C3E">
            <w:pPr>
              <w:rPr>
                <w:rFonts w:eastAsiaTheme="minorEastAsia"/>
                <w:sz w:val="28"/>
              </w:rPr>
            </w:pP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t xml:space="preserve">        </w:t>
            </w:r>
            <w:r w:rsidRPr="00E45972">
              <w:t xml:space="preserve">1,000.01   =   </w:t>
            </w:r>
            <m:oMath>
              <m:f>
                <m:fPr>
                  <m:ctrlPr>
                    <w:rPr>
                      <w:rFonts w:ascii="Cambria Math" w:hAnsi="Cambria Math"/>
                      <w:b w:val="0"/>
                      <w:bCs w:val="0"/>
                      <w:i/>
                      <w:sz w:val="28"/>
                    </w:rPr>
                  </m:ctrlPr>
                </m:fPr>
                <m:num>
                  <m:r>
                    <m:rPr>
                      <m:sty m:val="bi"/>
                    </m:rPr>
                    <w:rPr>
                      <w:rFonts w:ascii="Cambria Math" w:hAnsi="Cambria Math"/>
                      <w:sz w:val="28"/>
                    </w:rPr>
                    <m:t>1469.32</m:t>
                  </m:r>
                </m:num>
                <m:den>
                  <m:r>
                    <m:rPr>
                      <m:sty m:val="bi"/>
                    </m:rPr>
                    <w:rPr>
                      <w:rFonts w:ascii="Cambria Math" w:hAnsi="Cambria Math"/>
                      <w:sz w:val="28"/>
                    </w:rPr>
                    <m:t>1.4693</m:t>
                  </m:r>
                </m:den>
              </m:f>
            </m:oMath>
          </w:p>
        </w:tc>
      </w:tr>
      <w:tr w:rsidR="00E45972" w:rsidRPr="00E45972" w:rsidTr="00115465">
        <w:trPr>
          <w:trHeight w:val="1828"/>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115465" w:rsidRDefault="00115465" w:rsidP="001A5C3E">
            <w:pPr>
              <w:rPr>
                <w:rFonts w:eastAsiaTheme="minorEastAsia"/>
              </w:rPr>
            </w:pPr>
          </w:p>
          <w:p w:rsidR="00E45972" w:rsidRDefault="00E45972" w:rsidP="001A5C3E">
            <w:pPr>
              <w:rPr>
                <w:rFonts w:eastAsiaTheme="minorEastAsia"/>
                <w:b w:val="0"/>
                <w:bCs w:val="0"/>
                <w:sz w:val="28"/>
              </w:rPr>
            </w:pPr>
            <w:r w:rsidRPr="00E45972">
              <w:rPr>
                <w:rFonts w:eastAsiaTheme="minorEastAsia"/>
              </w:rPr>
              <w:t>10%</w:t>
            </w:r>
            <w:r w:rsidRPr="00E45972">
              <w:rPr>
                <w:rFonts w:eastAsiaTheme="minorEastAsia"/>
              </w:rPr>
              <w:tab/>
            </w:r>
            <w:r w:rsidRPr="00E45972">
              <w:rPr>
                <w:rFonts w:eastAsiaTheme="minorEastAsia"/>
              </w:rPr>
              <w:tab/>
            </w:r>
            <w:r w:rsidRPr="00E45972">
              <w:rPr>
                <w:rFonts w:eastAsiaTheme="minorEastAsia"/>
              </w:rPr>
              <w:tab/>
              <w:t xml:space="preserve">   </w:t>
            </w:r>
            <w:r w:rsidRPr="00E45972">
              <w:t xml:space="preserve">981.81   =  </w:t>
            </w:r>
            <m:oMath>
              <m:f>
                <m:fPr>
                  <m:ctrlPr>
                    <w:rPr>
                      <w:rFonts w:ascii="Cambria Math" w:hAnsi="Cambria Math"/>
                      <w:b w:val="0"/>
                      <w:bCs w:val="0"/>
                      <w:i/>
                      <w:sz w:val="28"/>
                    </w:rPr>
                  </m:ctrlPr>
                </m:fPr>
                <m:num>
                  <m:r>
                    <m:rPr>
                      <m:sty m:val="bi"/>
                    </m:rPr>
                    <w:rPr>
                      <w:rFonts w:ascii="Cambria Math" w:hAnsi="Cambria Math"/>
                      <w:sz w:val="28"/>
                    </w:rPr>
                    <m:t>1080</m:t>
                  </m:r>
                </m:num>
                <m:den>
                  <m:r>
                    <m:rPr>
                      <m:sty m:val="bi"/>
                    </m:rPr>
                    <w:rPr>
                      <w:rFonts w:ascii="Cambria Math" w:hAnsi="Cambria Math"/>
                      <w:sz w:val="28"/>
                    </w:rPr>
                    <m:t>1.1</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rsidRPr="00E45972">
              <w:rPr>
                <w:rFonts w:eastAsiaTheme="minorEastAsia"/>
                <w:sz w:val="28"/>
              </w:rPr>
              <w:tab/>
              <w:t xml:space="preserve">   </w:t>
            </w:r>
            <m:oMath>
              <m:f>
                <m:fPr>
                  <m:ctrlPr>
                    <w:rPr>
                      <w:rFonts w:ascii="Cambria Math" w:hAnsi="Cambria Math"/>
                      <w:b w:val="0"/>
                      <w:bCs w:val="0"/>
                      <w:i/>
                      <w:sz w:val="28"/>
                    </w:rPr>
                  </m:ctrlPr>
                </m:fPr>
                <m:num>
                  <m:r>
                    <m:rPr>
                      <m:sty m:val="bi"/>
                    </m:rPr>
                    <w:rPr>
                      <w:rFonts w:ascii="Cambria Math" w:hAnsi="Cambria Math"/>
                      <w:sz w:val="28"/>
                    </w:rPr>
                    <m:t>1469.32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1.1</m:t>
                          </m:r>
                        </m:e>
                      </m:d>
                    </m:e>
                    <m:sup>
                      <m:r>
                        <m:rPr>
                          <m:sty m:val="bi"/>
                        </m:rPr>
                        <w:rPr>
                          <w:rFonts w:ascii="Cambria Math" w:hAnsi="Cambria Math"/>
                          <w:sz w:val="28"/>
                        </w:rPr>
                        <m:t>5</m:t>
                      </m:r>
                    </m:sup>
                  </m:sSup>
                </m:den>
              </m:f>
            </m:oMath>
          </w:p>
          <w:p w:rsidR="00115465" w:rsidRPr="00E45972" w:rsidRDefault="00115465" w:rsidP="001A5C3E">
            <w:pPr>
              <w:rPr>
                <w:rFonts w:eastAsiaTheme="minorEastAsia"/>
              </w:rPr>
            </w:pPr>
          </w:p>
          <w:p w:rsidR="00E45972" w:rsidRPr="00E45972" w:rsidRDefault="00E45972" w:rsidP="001A5C3E">
            <w:pPr>
              <w:rPr>
                <w:rFonts w:eastAsiaTheme="minorEastAsia"/>
                <w:sz w:val="28"/>
              </w:rPr>
            </w:pP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rsidRPr="00E45972">
              <w:t xml:space="preserve">912.33   =   </w:t>
            </w:r>
            <m:oMath>
              <m:f>
                <m:fPr>
                  <m:ctrlPr>
                    <w:rPr>
                      <w:rFonts w:ascii="Cambria Math" w:hAnsi="Cambria Math"/>
                      <w:b w:val="0"/>
                      <w:bCs w:val="0"/>
                      <w:i/>
                      <w:sz w:val="28"/>
                    </w:rPr>
                  </m:ctrlPr>
                </m:fPr>
                <m:num>
                  <m:r>
                    <m:rPr>
                      <m:sty m:val="bi"/>
                    </m:rPr>
                    <w:rPr>
                      <w:rFonts w:ascii="Cambria Math" w:hAnsi="Cambria Math"/>
                      <w:sz w:val="28"/>
                    </w:rPr>
                    <m:t>1469.32</m:t>
                  </m:r>
                </m:num>
                <m:den>
                  <m:r>
                    <m:rPr>
                      <m:sty m:val="bi"/>
                    </m:rPr>
                    <w:rPr>
                      <w:rFonts w:ascii="Cambria Math" w:hAnsi="Cambria Math"/>
                      <w:sz w:val="28"/>
                    </w:rPr>
                    <m:t>1.6105</m:t>
                  </m:r>
                </m:den>
              </m:f>
            </m:oMath>
          </w:p>
        </w:tc>
      </w:tr>
    </w:tbl>
    <w:p w:rsidR="00867F4E" w:rsidRPr="00B94E77" w:rsidRDefault="00867F4E" w:rsidP="00E45972"/>
    <w:sectPr w:rsidR="00867F4E" w:rsidRPr="00B9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77"/>
    <w:rsid w:val="00053E3A"/>
    <w:rsid w:val="00115465"/>
    <w:rsid w:val="002B59AF"/>
    <w:rsid w:val="007621E6"/>
    <w:rsid w:val="007E4E8C"/>
    <w:rsid w:val="00867F4E"/>
    <w:rsid w:val="00B94E77"/>
    <w:rsid w:val="00E45972"/>
    <w:rsid w:val="00F3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B0AAE-946B-4298-B1BE-D8F9FEC6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E77"/>
    <w:rPr>
      <w:color w:val="808080"/>
    </w:rPr>
  </w:style>
  <w:style w:type="table" w:styleId="TableGrid">
    <w:name w:val="Table Grid"/>
    <w:basedOn w:val="TableNormal"/>
    <w:uiPriority w:val="39"/>
    <w:rsid w:val="00E4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6">
    <w:name w:val="Grid Table 1 Light Accent 6"/>
    <w:basedOn w:val="TableNormal"/>
    <w:uiPriority w:val="46"/>
    <w:rsid w:val="00E4597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2020-05-21T09:59:00Z</dcterms:created>
  <dcterms:modified xsi:type="dcterms:W3CDTF">2020-05-29T17:49:00Z</dcterms:modified>
</cp:coreProperties>
</file>