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24"/>
          <w:u w:color="000000"/>
        </w:rPr>
      </w:pPr>
      <w:r>
        <w:rPr>
          <w:rFonts w:ascii="Arial" w:cs="Arial" w:hAnsi="Arial"/>
          <w:b/>
          <w:sz w:val="24"/>
          <w:u w:color="000000"/>
        </w:rPr>
        <w:t>Dental technology 4th</w:t>
      </w:r>
    </w:p>
    <w:p>
      <w:pPr>
        <w:pStyle w:val="style0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>Course Title: General pharmacology II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                    </w:t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0"/>
          <w:szCs w:val="20"/>
          <w:u w:color="000000"/>
        </w:rPr>
        <w:t xml:space="preserve">                                                </w:t>
      </w:r>
    </w:p>
    <w:p>
      <w:pPr>
        <w:pStyle w:val="style0"/>
        <w:rPr>
          <w:rFonts w:ascii="Arial" w:cs="Arial" w:hAnsi="Arial" w:hint="default"/>
          <w:b/>
          <w:sz w:val="20"/>
          <w:lang w:val="en-US"/>
        </w:rPr>
      </w:pPr>
      <w:r>
        <w:rPr>
          <w:rFonts w:ascii="Arial" w:cs="Arial" w:hAnsi="Arial"/>
          <w:b/>
          <w:sz w:val="20"/>
        </w:rPr>
        <w:t>Student Name: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 w:hint="default"/>
          <w:b/>
          <w:sz w:val="20"/>
          <w:lang w:val="en-US"/>
        </w:rPr>
        <w:t>Sabila</w:t>
      </w:r>
    </w:p>
    <w:p>
      <w:pPr>
        <w:pStyle w:val="style0"/>
        <w:rPr/>
      </w:pPr>
      <w:r>
        <w:rPr>
          <w:rFonts w:ascii="Arial" w:cs="Arial" w:hAnsi="Arial"/>
          <w:b/>
          <w:sz w:val="20"/>
        </w:rPr>
        <w:t>Student ID: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 w:hint="default"/>
          <w:b/>
          <w:sz w:val="20"/>
          <w:lang w:val="en-US"/>
        </w:rPr>
        <w:t>15248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0"/>
        </w:rPr>
      </w:pPr>
      <w:r>
        <w:rPr>
          <w:rFonts w:ascii="Arial" w:cs="Arial" w:hAnsi="Arial"/>
          <w:b/>
          <w:sz w:val="20"/>
        </w:rPr>
        <w:t xml:space="preserve">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</w:t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ab/>
      </w:r>
      <w:r>
        <w:rPr>
          <w:rFonts w:ascii="Arial" w:cs="Arial" w:hAnsi="Arial"/>
          <w:b/>
          <w:sz w:val="20"/>
        </w:rPr>
        <w:t xml:space="preserve">        </w:t>
      </w:r>
    </w:p>
    <w:p>
      <w:pPr>
        <w:pStyle w:val="style0"/>
        <w:spacing w:after="0" w:lineRule="auto" w:line="240"/>
        <w:rPr>
          <w:rFonts w:ascii="Arial" w:cs="Arial" w:hAnsi="Arial"/>
          <w:b/>
        </w:rPr>
      </w:pPr>
    </w:p>
    <w:p>
      <w:pPr>
        <w:pStyle w:val="style0"/>
        <w:spacing w:after="0" w:lineRule="auto" w:line="240"/>
        <w:rPr>
          <w:rFonts w:ascii="Arial" w:cs="Arial" w:hAnsi="Arial"/>
          <w:b/>
        </w:rPr>
      </w:pPr>
      <w:r>
        <w:rPr>
          <w:rFonts w:ascii="Arial" w:cs="Arial" w:hAnsi="Arial"/>
          <w:b/>
        </w:rPr>
        <w:t>Note: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>Paper is divided into two questions, Q1 includes 15 MCQs and Q2 includes 15 True/False statements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>Each MCQ or T/F carry one mark with grand total of 30 marks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Arial" w:cs="Arial" w:hAnsi="Arial"/>
          <w:b/>
          <w:sz w:val="20"/>
          <w:szCs w:val="18"/>
        </w:rPr>
      </w:pPr>
      <w:r>
        <w:rPr>
          <w:rFonts w:ascii="Arial" w:cs="Arial" w:hAnsi="Arial"/>
          <w:b/>
          <w:sz w:val="20"/>
          <w:szCs w:val="18"/>
          <w:highlight w:val="yellow"/>
        </w:rPr>
        <w:t>Highlight</w:t>
      </w:r>
      <w:r>
        <w:rPr>
          <w:rFonts w:ascii="Arial" w:cs="Arial" w:hAnsi="Arial"/>
          <w:b/>
          <w:sz w:val="20"/>
          <w:szCs w:val="18"/>
        </w:rPr>
        <w:t xml:space="preserve"> or </w:t>
      </w:r>
      <w:r>
        <w:rPr>
          <w:rFonts w:ascii="Arial" w:cs="Arial" w:hAnsi="Arial"/>
          <w:b/>
          <w:sz w:val="20"/>
          <w:szCs w:val="18"/>
          <w:u w:val="single"/>
        </w:rPr>
        <w:t>underline</w:t>
      </w:r>
      <w:r>
        <w:rPr>
          <w:rFonts w:ascii="Arial" w:cs="Arial" w:hAnsi="Arial"/>
          <w:b/>
          <w:sz w:val="20"/>
          <w:szCs w:val="18"/>
        </w:rPr>
        <w:t xml:space="preserve"> the appropriate option</w:t>
      </w:r>
    </w:p>
    <w:p>
      <w:pPr>
        <w:pStyle w:val="style179"/>
        <w:numPr>
          <w:ilvl w:val="0"/>
          <w:numId w:val="7"/>
        </w:numPr>
        <w:spacing w:after="0" w:lineRule="auto" w:line="240"/>
        <w:jc w:val="both"/>
        <w:rPr>
          <w:rFonts w:ascii="Times New Roman" w:cs="Times New Roman" w:hAnsi="Times New Roman"/>
          <w:sz w:val="20"/>
          <w:szCs w:val="18"/>
        </w:rPr>
      </w:pPr>
      <w:r>
        <w:rPr>
          <w:rFonts w:ascii="Arial" w:cs="Arial" w:hAnsi="Arial"/>
          <w:b/>
          <w:sz w:val="20"/>
          <w:szCs w:val="18"/>
        </w:rPr>
        <w:t xml:space="preserve">Before marking, read every statement carefully to understand the actual sense of question 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18"/>
          <w:szCs w:val="18"/>
        </w:rPr>
      </w:pPr>
    </w:p>
    <w:p>
      <w:pPr>
        <w:pStyle w:val="style0"/>
        <w:spacing w:lineRule="auto" w:line="360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>Q1. Select the most appropriate option for the following questions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Alkylating agents shows its mechanism via 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Cellular toxicity 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Energy suppression 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Interfering with nuclear matter 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Addition of adrenaline with LAs has advantage of 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</w:rPr>
        <w:t xml:space="preserve">Prolong duration 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Reduced systemic toxicity 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Decreased bleeding 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All of the above </w:t>
      </w:r>
    </w:p>
    <w:p>
      <w:pPr>
        <w:pStyle w:val="style179"/>
        <w:numPr>
          <w:ilvl w:val="0"/>
          <w:numId w:val="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c. 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Which class of chemotherapeutic drugs accumulate itself as false DNA/RNA while its synthesis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Antimetabolites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Plant alkaloids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Hormones </w:t>
      </w:r>
    </w:p>
    <w:p>
      <w:pPr>
        <w:pStyle w:val="style179"/>
        <w:numPr>
          <w:ilvl w:val="0"/>
          <w:numId w:val="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Both a. and b.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As antineoplastic drugs, antibiotics show its effects by 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Making highly reactive free radical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</w:rPr>
        <w:t>Interfering with DNA/RNA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Both a. and b.</w:t>
      </w:r>
    </w:p>
    <w:p>
      <w:pPr>
        <w:pStyle w:val="style179"/>
        <w:numPr>
          <w:ilvl w:val="0"/>
          <w:numId w:val="9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At inflamed and infected tissues the pH is lower which causes the absorption of surface anesthetics 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To be enhanced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To be reduced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 effect </w:t>
      </w:r>
    </w:p>
    <w:p>
      <w:pPr>
        <w:pStyle w:val="style179"/>
        <w:numPr>
          <w:ilvl w:val="0"/>
          <w:numId w:val="16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</w:rPr>
        <w:t>Depend on inflammation</w:t>
      </w:r>
      <w:r>
        <w:rPr>
          <w:rFonts w:ascii="Arial" w:cs="Arial" w:hAnsi="Arial"/>
          <w:sz w:val="24"/>
        </w:rPr>
        <w:t xml:space="preserve"> 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Mechanistically, Which of the following drug/s primarily interfere with specific enzymes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Amprenavir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Oseltamivir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  <w:highlight w:val="yellow"/>
        </w:rPr>
        <w:t xml:space="preserve">Foscarnet </w:t>
      </w:r>
    </w:p>
    <w:p>
      <w:pPr>
        <w:pStyle w:val="style179"/>
        <w:numPr>
          <w:ilvl w:val="1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All of the above </w:t>
      </w:r>
    </w:p>
    <w:p>
      <w:pPr>
        <w:pStyle w:val="style179"/>
        <w:numPr>
          <w:ilvl w:val="0"/>
          <w:numId w:val="17"/>
        </w:numPr>
        <w:spacing w:lineRule="auto" w:line="360"/>
        <w:ind w:left="45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 person infected with </w:t>
      </w:r>
      <w:r>
        <w:rPr>
          <w:rFonts w:ascii="Arial" w:cs="Arial" w:hAnsi="Arial"/>
          <w:i/>
          <w:sz w:val="24"/>
          <w:u w:val="single"/>
        </w:rPr>
        <w:t xml:space="preserve">tuberculosis bacilli </w:t>
      </w:r>
      <w:r>
        <w:rPr>
          <w:rFonts w:ascii="Arial" w:cs="Arial" w:hAnsi="Arial"/>
          <w:sz w:val="24"/>
        </w:rPr>
        <w:t>as per your knowledge what should be first choice of drug for him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Tetracycline 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Erythromycin 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Isoniazid 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Which drug use targeting mechanism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Vincristine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Rituximab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Ifosfamide </w:t>
      </w:r>
    </w:p>
    <w:p>
      <w:pPr>
        <w:pStyle w:val="style179"/>
        <w:numPr>
          <w:ilvl w:val="0"/>
          <w:numId w:val="10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Thioguanine 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Abnormal protein synthesis are involved with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Sulbactam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Oxacillin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Gentamycin </w:t>
      </w:r>
    </w:p>
    <w:p>
      <w:pPr>
        <w:pStyle w:val="style179"/>
        <w:numPr>
          <w:ilvl w:val="0"/>
          <w:numId w:val="14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Cancer can be cured with 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Positive lifestyle changes 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Chemotherapy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Surgery  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>Both b. and c.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Ribosomal interactions are involved with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Sulbactam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Oxacillin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Gentamycin </w:t>
      </w:r>
    </w:p>
    <w:p>
      <w:pPr>
        <w:pStyle w:val="style179"/>
        <w:numPr>
          <w:ilvl w:val="0"/>
          <w:numId w:val="12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a. and b. </w:t>
      </w:r>
    </w:p>
    <w:p>
      <w:pPr>
        <w:pStyle w:val="style179"/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As antibacterial agent, Super coiling of DNA is inhibited by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Minocycline 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Tazobactum 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Neomycin 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 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If this stage is inadvertently reached during anesthesia, respiratory and circulatory support must be provided or the patient will die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Stage I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Stage II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Stage III</w:t>
      </w:r>
    </w:p>
    <w:p>
      <w:pPr>
        <w:pStyle w:val="style179"/>
        <w:numPr>
          <w:ilvl w:val="0"/>
          <w:numId w:val="13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>Stage IV</w:t>
      </w:r>
    </w:p>
    <w:p>
      <w:pPr>
        <w:pStyle w:val="style179"/>
        <w:numPr>
          <w:ilvl w:val="0"/>
          <w:numId w:val="17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Folic acid metabolism is often hampers by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Tetracyclines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 xml:space="preserve">Sulfonamide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Ciprofloxacin </w:t>
      </w:r>
    </w:p>
    <w:p>
      <w:pPr>
        <w:pStyle w:val="style179"/>
        <w:numPr>
          <w:ilvl w:val="0"/>
          <w:numId w:val="8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Both B. and c. </w:t>
      </w:r>
    </w:p>
    <w:p>
      <w:pPr>
        <w:pStyle w:val="style179"/>
        <w:numPr>
          <w:ilvl w:val="0"/>
          <w:numId w:val="17"/>
        </w:numPr>
        <w:spacing w:lineRule="auto" w:line="360"/>
        <w:ind w:left="45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Which drug can adversely increase the weight of patient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  <w:highlight w:val="yellow"/>
        </w:rPr>
      </w:pPr>
      <w:r>
        <w:rPr>
          <w:rFonts w:ascii="Arial" w:cs="Arial" w:hAnsi="Arial"/>
          <w:sz w:val="24"/>
          <w:highlight w:val="yellow"/>
        </w:rPr>
        <w:t>Enfuvirtide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Amprenavir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Zanamivir </w:t>
      </w:r>
    </w:p>
    <w:p>
      <w:pPr>
        <w:pStyle w:val="style179"/>
        <w:numPr>
          <w:ilvl w:val="0"/>
          <w:numId w:val="15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None of the above </w:t>
      </w:r>
    </w:p>
    <w:p>
      <w:pPr>
        <w:pStyle w:val="style179"/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tabs>
          <w:tab w:val="left" w:leader="none" w:pos="2665"/>
        </w:tabs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ab/>
      </w:r>
    </w:p>
    <w:p>
      <w:pPr>
        <w:pStyle w:val="style179"/>
        <w:tabs>
          <w:tab w:val="left" w:leader="none" w:pos="2665"/>
        </w:tabs>
        <w:spacing w:lineRule="auto" w:line="360"/>
        <w:rPr>
          <w:rFonts w:ascii="Arial" w:cs="Arial" w:hAnsi="Arial"/>
          <w:sz w:val="24"/>
        </w:rPr>
      </w:pPr>
    </w:p>
    <w:bookmarkStart w:id="0" w:name="_GoBack"/>
    <w:bookmarkEnd w:id="0"/>
    <w:p>
      <w:pPr>
        <w:pStyle w:val="style179"/>
        <w:tabs>
          <w:tab w:val="left" w:leader="none" w:pos="2665"/>
        </w:tabs>
        <w:spacing w:lineRule="auto" w:line="360"/>
        <w:rPr>
          <w:rFonts w:ascii="Arial" w:cs="Arial" w:hAnsi="Arial"/>
          <w:sz w:val="24"/>
        </w:rPr>
      </w:pPr>
    </w:p>
    <w:p>
      <w:pPr>
        <w:pStyle w:val="style179"/>
        <w:tabs>
          <w:tab w:val="left" w:leader="none" w:pos="2665"/>
        </w:tabs>
        <w:spacing w:lineRule="auto" w:line="360"/>
        <w:rPr>
          <w:rFonts w:ascii="Arial" w:cs="Arial" w:hAnsi="Arial"/>
          <w:sz w:val="24"/>
        </w:rPr>
      </w:pPr>
    </w:p>
    <w:p>
      <w:pPr>
        <w:pStyle w:val="style0"/>
        <w:spacing w:lineRule="auto" w:line="360"/>
        <w:rPr>
          <w:rFonts w:ascii="Arial" w:cs="Arial" w:hAnsi="Arial"/>
          <w:b/>
          <w:sz w:val="24"/>
        </w:rPr>
      </w:pPr>
      <w:r>
        <w:rPr>
          <w:rFonts w:ascii="Arial" w:cs="Arial" w:hAnsi="Arial"/>
          <w:b/>
          <w:sz w:val="24"/>
        </w:rPr>
        <w:t xml:space="preserve">Q2. For the following questions, encircle “T” for True or “F” for False  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Tetracycline disrupt the architecture and integrity of membrane by reducing peptidoglycan production (T/F)</w:t>
      </w:r>
      <w:r>
        <w:rPr>
          <w:rFonts w:ascii="Arial" w:cs="Arial" w:hAnsi="Arial" w:hint="default"/>
          <w:sz w:val="24"/>
          <w:highlight w:val="yellow"/>
          <w:lang w:val="en-US"/>
        </w:rPr>
        <w:t xml:space="preserve"> False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After absorption, procaine is poorly bound to plasma proteins, hence showing prolong duration of action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/>
          <w:sz w:val="24"/>
        </w:rPr>
        <w:t>)</w:t>
      </w:r>
      <w:r>
        <w:rPr>
          <w:rFonts w:ascii="Arial" w:cs="Arial" w:hAnsi="Arial" w:hint="default"/>
          <w:sz w:val="24"/>
          <w:highlight w:val="yellow"/>
          <w:lang w:val="en-US"/>
        </w:rPr>
        <w:t xml:space="preserve"> False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Vincristine and griseofulvin interfere with the process of mitosis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True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Gastrointestinal distress is most common adverse effect associated with orally administered drug (T/F) 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True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Majority of the antifungal agents are administered systemically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False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Mainly, local anesthetics increase the duration on inactivated state of receptor by blocking voltage gated K+ channel at neuronal membrane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False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First generation cephalosporins have lower effect on Gram negative as compared with fourth generation cephalosporins (T/F)</w:t>
      </w:r>
      <w:r>
        <w:rPr>
          <w:rFonts w:ascii="Arial" w:cs="Arial" w:hAnsi="Arial"/>
          <w:sz w:val="24"/>
          <w:highlight w:val="yellow"/>
        </w:rPr>
        <w:t xml:space="preserve">  </w:t>
      </w:r>
      <w:r>
        <w:rPr>
          <w:rFonts w:ascii="Arial" w:cs="Arial" w:hAnsi="Arial" w:hint="default"/>
          <w:sz w:val="24"/>
          <w:highlight w:val="yellow"/>
          <w:lang w:val="en-US"/>
        </w:rPr>
        <w:t>True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Ultimate effect of penicillins is to retard the growth of bacteria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True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In any case of infection ceftriaxone always comes as primary agent as compared to amoxicillin 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True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Amantadine prevents the release of viral nuclear matter at preliminary steps such as uncoating (T/F)</w:t>
      </w:r>
      <w:r>
        <w:rPr>
          <w:rFonts w:ascii="Arial" w:cs="Arial" w:hAnsi="Arial"/>
          <w:sz w:val="24"/>
          <w:highlight w:val="yellow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 xml:space="preserve"> False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Sciatic nerve is anesthetized by injecting drug into lumbar spine at location of 3-4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False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 Levofloxacin impair normal DNA structure by inhibiting specific enzymes i.e. DNA gyrase etc.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True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Terbinafine inhibits the squalene epoxidase in the cell membrane of bacteria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False</w:t>
      </w:r>
    </w:p>
    <w:p>
      <w:pPr>
        <w:pStyle w:val="style179"/>
        <w:numPr>
          <w:ilvl w:val="0"/>
          <w:numId w:val="11"/>
        </w:numPr>
        <w:spacing w:lineRule="auto" w:line="360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Vestibular or cochlea toxicity is mainly associated with streptomycin and gentamycin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False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Caspofungin, amphotericin B and terbinafine incorporate itself into ergosterol and change cell membrane structure (T/F)</w:t>
      </w:r>
      <w:r>
        <w:rPr>
          <w:rFonts w:ascii="Arial" w:cs="Arial" w:hAnsi="Arial" w:hint="default"/>
          <w:sz w:val="24"/>
          <w:lang w:val="en-US"/>
        </w:rPr>
        <w:t xml:space="preserve"> </w:t>
      </w:r>
      <w:r>
        <w:rPr>
          <w:rFonts w:ascii="Arial" w:cs="Arial" w:hAnsi="Arial" w:hint="default"/>
          <w:sz w:val="24"/>
          <w:highlight w:val="yellow"/>
          <w:lang w:val="en-US"/>
        </w:rPr>
        <w:t>True</w:t>
      </w:r>
    </w:p>
    <w:p>
      <w:pPr>
        <w:pStyle w:val="style179"/>
        <w:rPr>
          <w:rFonts w:ascii="Arial" w:cs="Arial" w:hAnsi="Arial"/>
          <w:sz w:val="24"/>
        </w:rPr>
      </w:pPr>
    </w:p>
    <w:sectPr>
      <w:pgSz w:w="12240" w:h="15840" w:orient="portrait"/>
      <w:pgMar w:top="990" w:right="117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SimHei">
    <w:altName w:val="SimHei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Calibri">
    <w:altName w:val="Calibri"/>
    <w:panose1 w:val="020f0502020002030204"/>
    <w:charset w:val="86"/>
    <w:family w:val="swiss"/>
    <w:pitch w:val="default"/>
    <w:sig w:usb0="E10002FF" w:usb1="4000ACFF" w:usb2="00000009" w:usb3="00000000" w:csb0="2000019F" w:csb1="00000000"/>
  </w:font>
  <w:font w:name="JansonText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CAD558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multilevel"/>
    <w:tmpl w:val="59B0065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multilevel"/>
    <w:tmpl w:val="5D1E19DB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multilevel"/>
    <w:tmpl w:val="360A50F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multilevel"/>
    <w:tmpl w:val="2A827B3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multilevel"/>
    <w:tmpl w:val="302E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13876183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multilevel"/>
    <w:tmpl w:val="75976CC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multilevel"/>
    <w:tmpl w:val="409979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multilevel"/>
    <w:tmpl w:val="524A39F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multilevel"/>
    <w:tmpl w:val="793834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multilevel"/>
    <w:tmpl w:val="5D0378B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multilevel"/>
    <w:tmpl w:val="65CF09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52C221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76DA54AD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multilevel"/>
    <w:tmpl w:val="44AA764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multilevel"/>
    <w:tmpl w:val="245466C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fontstyle01"/>
    <w:basedOn w:val="style65"/>
    <w:next w:val="style4097"/>
    <w:uiPriority w:val="0"/>
    <w:rPr>
      <w:rFonts w:ascii="JansonText-Roman" w:hAnsi="JansonText-Roman" w:hint="default"/>
      <w:color w:val="231f2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591</Words>
  <Pages>4</Pages>
  <Characters>3393</Characters>
  <Application>WPS Office</Application>
  <DocSecurity>0</DocSecurity>
  <Paragraphs>113</Paragraphs>
  <ScaleCrop>false</ScaleCrop>
  <LinksUpToDate>false</LinksUpToDate>
  <CharactersWithSpaces>4075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2019-11-18T04:35:00Z</dcterms:created>
  <dc:creator>star jasper</dc:creator>
  <lastModifiedBy>SM-G5520</lastModifiedBy>
  <dcterms:modified xsi:type="dcterms:W3CDTF">2020-04-14T10:35:02Z</dcterms:modified>
  <revision>51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