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  <w:u w:color="000000"/>
        </w:rPr>
      </w:pPr>
      <w:r w:rsidRPr="002F60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0E8D66D" wp14:editId="2F77003F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05D">
        <w:rPr>
          <w:rFonts w:ascii="Impact" w:eastAsia="Calibri" w:hAnsi="Impact" w:cs="Times New Roman"/>
          <w:b/>
          <w:sz w:val="50"/>
          <w:u w:color="000000"/>
        </w:rPr>
        <w:t>IQRA NATIONAL UNIVERSITY</w:t>
      </w:r>
    </w:p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  <w:u w:color="000000"/>
        </w:rPr>
      </w:pPr>
      <w:r w:rsidRPr="002F605D">
        <w:rPr>
          <w:rFonts w:ascii="Impact" w:eastAsia="Calibri" w:hAnsi="Impact" w:cs="Times New Roman"/>
          <w:b/>
          <w:sz w:val="34"/>
          <w:u w:color="000000"/>
        </w:rPr>
        <w:t>DEPARTMENT OF ALLIED HEALTH SCIENCES</w:t>
      </w:r>
    </w:p>
    <w:p w:rsidR="002F605D" w:rsidRPr="002F605D" w:rsidRDefault="00890F6A" w:rsidP="002F605D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Final</w:t>
      </w:r>
      <w:r w:rsidR="002F5E10">
        <w:rPr>
          <w:rFonts w:ascii="Arial" w:eastAsia="Calibri" w:hAnsi="Arial" w:cs="Arial"/>
          <w:b/>
          <w:sz w:val="24"/>
          <w:u w:color="000000"/>
        </w:rPr>
        <w:t>-Term Examination</w:t>
      </w:r>
    </w:p>
    <w:p w:rsidR="002F605D" w:rsidRPr="002F605D" w:rsidRDefault="00F95359" w:rsidP="00084591">
      <w:pPr>
        <w:spacing w:after="160" w:line="240" w:lineRule="auto"/>
        <w:ind w:right="4" w:firstLine="720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DPT</w:t>
      </w:r>
      <w:r w:rsidR="00084591">
        <w:rPr>
          <w:rFonts w:ascii="Arial" w:eastAsia="Calibri" w:hAnsi="Arial" w:cs="Arial"/>
          <w:b/>
          <w:sz w:val="24"/>
          <w:u w:color="000000"/>
        </w:rPr>
        <w:t xml:space="preserve"> 2</w:t>
      </w:r>
      <w:r w:rsidR="00084591" w:rsidRPr="00084591">
        <w:rPr>
          <w:rFonts w:ascii="Arial" w:eastAsia="Calibri" w:hAnsi="Arial" w:cs="Arial"/>
          <w:b/>
          <w:sz w:val="24"/>
          <w:u w:color="000000"/>
          <w:vertAlign w:val="superscript"/>
        </w:rPr>
        <w:t>nd</w:t>
      </w:r>
      <w:r w:rsidR="00084591"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2F5E10"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084591">
        <w:rPr>
          <w:rFonts w:ascii="Arial" w:eastAsia="Calibri" w:hAnsi="Arial" w:cs="Arial"/>
          <w:b/>
          <w:sz w:val="24"/>
          <w:u w:color="000000"/>
        </w:rPr>
        <w:t xml:space="preserve"> S</w:t>
      </w:r>
      <w:r w:rsidR="00BF200F">
        <w:rPr>
          <w:rFonts w:ascii="Arial" w:eastAsia="Calibri" w:hAnsi="Arial" w:cs="Arial"/>
          <w:b/>
          <w:sz w:val="24"/>
          <w:u w:color="000000"/>
        </w:rPr>
        <w:t>emester</w:t>
      </w:r>
    </w:p>
    <w:p w:rsidR="002F605D" w:rsidRPr="002F605D" w:rsidRDefault="00084591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Title: Human Physiology I</w:t>
      </w:r>
      <w:r w:rsidR="00F95359">
        <w:rPr>
          <w:rFonts w:ascii="Times New Roman" w:eastAsia="Calibri" w:hAnsi="Times New Roman" w:cs="Times New Roman"/>
          <w:b/>
          <w:sz w:val="20"/>
          <w:szCs w:val="20"/>
          <w:u w:color="000000"/>
        </w:rPr>
        <w:t>I</w:t>
      </w:r>
      <w:r w:rsidR="00BF200F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      </w:t>
      </w:r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ab/>
        <w:t>Instructor: Dr Sara Naeem</w:t>
      </w:r>
    </w:p>
    <w:p w:rsidR="00D0482A" w:rsidRDefault="002F5E10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Time: 6 </w:t>
      </w:r>
      <w:r w:rsidR="002F605D" w:rsidRPr="002F605D">
        <w:rPr>
          <w:rFonts w:ascii="Arial" w:eastAsia="Calibri" w:hAnsi="Arial" w:cs="Arial"/>
          <w:b/>
          <w:sz w:val="20"/>
        </w:rPr>
        <w:t>Hour</w:t>
      </w:r>
      <w:r w:rsidR="00BF200F">
        <w:rPr>
          <w:rFonts w:ascii="Arial" w:eastAsia="Calibri" w:hAnsi="Arial" w:cs="Arial"/>
          <w:b/>
          <w:sz w:val="20"/>
        </w:rPr>
        <w:t>s</w:t>
      </w:r>
      <w:r w:rsidR="002F605D" w:rsidRPr="002F605D">
        <w:rPr>
          <w:rFonts w:ascii="Arial" w:eastAsia="Calibri" w:hAnsi="Arial" w:cs="Arial"/>
          <w:b/>
          <w:sz w:val="20"/>
        </w:rPr>
        <w:tab/>
      </w:r>
    </w:p>
    <w:p w:rsidR="00D0482A" w:rsidRDefault="00D0482A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Name = Aleeza</w:t>
      </w:r>
    </w:p>
    <w:p w:rsidR="002F605D" w:rsidRPr="002F605D" w:rsidRDefault="00D0482A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ID       = 16673</w:t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  <w:t>Max Marks:</w:t>
      </w:r>
      <w:r w:rsidR="00890F6A">
        <w:rPr>
          <w:rFonts w:ascii="Arial" w:eastAsia="Calibri" w:hAnsi="Arial" w:cs="Arial"/>
          <w:b/>
          <w:sz w:val="20"/>
        </w:rPr>
        <w:t>50</w:t>
      </w:r>
    </w:p>
    <w:p w:rsidR="002F605D" w:rsidRPr="002F605D" w:rsidRDefault="002F605D" w:rsidP="002F605D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2F605D" w:rsidRPr="002F605D" w:rsidRDefault="002F605D" w:rsidP="002F605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2F605D" w:rsidRPr="002F605D" w:rsidRDefault="00C552A9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Q1.  </w:t>
      </w:r>
      <w:r w:rsidR="00F95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What would be the total lung capacity (TLC)  if  expiratory reserve volume ( ERV) is 1000 ml , (RV) residual volume is 1200 ml keeping the inspiratory capacity ( IC) as 3000 ml.</w:t>
      </w:r>
      <w:r w:rsidR="00F95359" w:rsidRPr="009B27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</w:p>
    <w:p w:rsidR="002F605D" w:rsidRP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 xml:space="preserve">Q2. </w:t>
      </w:r>
      <w:r w:rsidR="002F5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359" w:rsidRPr="009B27C0">
        <w:rPr>
          <w:rFonts w:ascii="Times New Roman" w:eastAsia="Calibri" w:hAnsi="Times New Roman" w:cs="Times New Roman"/>
          <w:b/>
          <w:sz w:val="24"/>
          <w:szCs w:val="24"/>
        </w:rPr>
        <w:t>Wh</w:t>
      </w:r>
      <w:r w:rsidR="000305A0">
        <w:rPr>
          <w:rFonts w:ascii="Times New Roman" w:eastAsia="Calibri" w:hAnsi="Times New Roman" w:cs="Times New Roman"/>
          <w:b/>
          <w:sz w:val="24"/>
          <w:szCs w:val="24"/>
        </w:rPr>
        <w:t>at is pulmonary edema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. Enlist  the muscles of inspiration and muscles of expiration.</w:t>
      </w:r>
      <w:r w:rsidR="00F95359" w:rsidRPr="009B27C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2F605D" w:rsidRPr="002F605D" w:rsidRDefault="002F605D" w:rsidP="00833B7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>Q3</w:t>
      </w:r>
      <w:r w:rsidRPr="002F60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845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95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Compare the properties of different blood groups. Also mark universal donor and universal recipient.</w:t>
      </w:r>
    </w:p>
    <w:p w:rsidR="002F605D" w:rsidRP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Times New Roman" w:eastAsia="Calibri" w:hAnsi="Times New Roman" w:cs="Times New Roman"/>
          <w:b/>
          <w:sz w:val="24"/>
          <w:szCs w:val="24"/>
        </w:rPr>
        <w:t>Q4</w:t>
      </w:r>
      <w:r w:rsidRPr="002F60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Explain respiratory membrane . What  are the </w:t>
      </w:r>
      <w:r w:rsidR="00F95359" w:rsidRPr="009B27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>factors that affect  diffusion of gases across the membrane</w:t>
      </w:r>
    </w:p>
    <w:p w:rsidR="004903DB" w:rsidRPr="0009608A" w:rsidRDefault="0009608A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Q5. 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What is the difference between anatomical dead space and physiological dead space. What are the clinical </w:t>
      </w:r>
      <w:r w:rsidR="000305A0">
        <w:rPr>
          <w:rFonts w:ascii="Times New Roman" w:eastAsia="Calibri" w:hAnsi="Times New Roman" w:cs="Times New Roman"/>
          <w:b/>
          <w:sz w:val="24"/>
          <w:szCs w:val="24"/>
        </w:rPr>
        <w:t>manifestations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r w:rsidR="000305A0">
        <w:rPr>
          <w:rFonts w:ascii="Times New Roman" w:eastAsia="Calibri" w:hAnsi="Times New Roman" w:cs="Times New Roman"/>
          <w:b/>
          <w:sz w:val="24"/>
          <w:szCs w:val="24"/>
        </w:rPr>
        <w:t>pulmonary effusion.</w:t>
      </w:r>
    </w:p>
    <w:p w:rsidR="002F605D" w:rsidRPr="004903DB" w:rsidRDefault="002F605D" w:rsidP="004903DB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04BFC" w:rsidRPr="00EA018A" w:rsidRDefault="00B51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Ans 1: </w:t>
      </w:r>
      <w:r w:rsidR="009F712C">
        <w:rPr>
          <w:rFonts w:ascii="Times New Roman" w:hAnsi="Times New Roman" w:cs="Times New Roman"/>
          <w:sz w:val="32"/>
          <w:szCs w:val="32"/>
        </w:rPr>
        <w:t xml:space="preserve">Then </w:t>
      </w:r>
      <w:r w:rsidR="00EA018A">
        <w:rPr>
          <w:rFonts w:ascii="Times New Roman" w:hAnsi="Times New Roman" w:cs="Times New Roman"/>
          <w:sz w:val="32"/>
          <w:szCs w:val="32"/>
        </w:rPr>
        <w:t xml:space="preserve">Total lung capacity </w:t>
      </w:r>
      <w:r w:rsidR="00002BE7">
        <w:rPr>
          <w:rFonts w:ascii="Times New Roman" w:hAnsi="Times New Roman" w:cs="Times New Roman"/>
          <w:sz w:val="32"/>
          <w:szCs w:val="32"/>
        </w:rPr>
        <w:t xml:space="preserve">(TLC) </w:t>
      </w:r>
      <w:r w:rsidR="009F712C">
        <w:rPr>
          <w:rFonts w:ascii="Times New Roman" w:hAnsi="Times New Roman" w:cs="Times New Roman"/>
          <w:sz w:val="32"/>
          <w:szCs w:val="32"/>
        </w:rPr>
        <w:t xml:space="preserve">are </w:t>
      </w:r>
      <w:r w:rsidR="00002BE7">
        <w:rPr>
          <w:rFonts w:ascii="Times New Roman" w:hAnsi="Times New Roman" w:cs="Times New Roman"/>
          <w:sz w:val="32"/>
          <w:szCs w:val="32"/>
        </w:rPr>
        <w:t>5.8L</w:t>
      </w:r>
      <w:r w:rsidR="00E544A6">
        <w:rPr>
          <w:rFonts w:ascii="Times New Roman" w:hAnsi="Times New Roman" w:cs="Times New Roman"/>
          <w:sz w:val="32"/>
          <w:szCs w:val="32"/>
        </w:rPr>
        <w:t xml:space="preserve"> (5800ml).</w:t>
      </w:r>
    </w:p>
    <w:p w:rsidR="00E54BA2" w:rsidRDefault="00FA62F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 2:</w:t>
      </w:r>
    </w:p>
    <w:p w:rsidR="00FA62F6" w:rsidRDefault="0026774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1.</w:t>
      </w:r>
      <w:r w:rsidR="00FA62F6">
        <w:rPr>
          <w:rFonts w:ascii="Times New Roman" w:hAnsi="Times New Roman" w:cs="Times New Roman"/>
          <w:b/>
          <w:bCs/>
          <w:sz w:val="32"/>
          <w:szCs w:val="32"/>
          <w:u w:val="single"/>
        </w:rPr>
        <w:t>Pulmonary edema:-</w:t>
      </w:r>
    </w:p>
    <w:p w:rsidR="00FA62F6" w:rsidRPr="00954271" w:rsidRDefault="00F125B5" w:rsidP="00FA6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1127760</wp:posOffset>
            </wp:positionV>
            <wp:extent cx="3949700" cy="239204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AEE" w:rsidRPr="00D77AEE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Pulmonary</w:t>
      </w:r>
      <w:r w:rsidR="00D77AEE" w:rsidRPr="00D77AEE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shd w:val="clear" w:color="auto" w:fill="FFFFFF"/>
        </w:rPr>
        <w:t xml:space="preserve"> </w:t>
      </w:r>
      <w:r w:rsidR="00D77AEE" w:rsidRPr="00D77AEE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edema is often caused by congestive heart failure. When the heart is not able to pump efficiently, blood can back up into the veins that </w:t>
      </w:r>
      <w:r w:rsidR="00D77AEE" w:rsidRPr="00D77AEE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lastRenderedPageBreak/>
        <w:t>take blood through the lungs. As the pressure in these blood vessels increases, fluid is pushed into the air spaces (alveoli) in the </w:t>
      </w:r>
      <w:r w:rsidR="00D77AEE" w:rsidRPr="009E5410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lungs</w:t>
      </w:r>
      <w:r w:rsidR="00D77AE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</w:t>
      </w:r>
    </w:p>
    <w:p w:rsidR="00954271" w:rsidRDefault="00267741" w:rsidP="0026774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2.muscles of inspiration:-</w:t>
      </w:r>
    </w:p>
    <w:p w:rsidR="00267741" w:rsidRPr="00945D65" w:rsidRDefault="007901CD" w:rsidP="002677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945D65">
        <w:rPr>
          <w:rFonts w:ascii="Times New Roman" w:hAnsi="Times New Roman" w:cs="Times New Roman"/>
          <w:sz w:val="32"/>
          <w:szCs w:val="32"/>
        </w:rPr>
        <w:t>Sternocleidomatoids</w:t>
      </w:r>
    </w:p>
    <w:p w:rsidR="007901CD" w:rsidRPr="00945D65" w:rsidRDefault="00945D65" w:rsidP="002677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Scalenes</w:t>
      </w:r>
    </w:p>
    <w:p w:rsidR="00945D65" w:rsidRPr="00945D65" w:rsidRDefault="00945D65" w:rsidP="002677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External intercostals</w:t>
      </w:r>
    </w:p>
    <w:p w:rsidR="00945D65" w:rsidRDefault="00945D65" w:rsidP="00945D6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Muscles of expiration:-</w:t>
      </w:r>
    </w:p>
    <w:p w:rsidR="00945D65" w:rsidRPr="005B6989" w:rsidRDefault="005B6989" w:rsidP="00945D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Internal intercostal </w:t>
      </w:r>
    </w:p>
    <w:p w:rsidR="005B6989" w:rsidRPr="005B6989" w:rsidRDefault="005B6989" w:rsidP="00945D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External oblique </w:t>
      </w:r>
    </w:p>
    <w:p w:rsidR="005B6989" w:rsidRPr="00D93644" w:rsidRDefault="00D93644" w:rsidP="00945D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Rectus abdomins </w:t>
      </w:r>
    </w:p>
    <w:p w:rsidR="00D93644" w:rsidRPr="00D93644" w:rsidRDefault="00D93644" w:rsidP="00945D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Transverse abdomins </w:t>
      </w:r>
    </w:p>
    <w:p w:rsidR="00CF5C07" w:rsidRPr="007403D8" w:rsidRDefault="00CF5C07" w:rsidP="00CF5C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Internal oblique </w:t>
      </w:r>
    </w:p>
    <w:p w:rsidR="007403D8" w:rsidRPr="00CF5C07" w:rsidRDefault="007403D8" w:rsidP="007403D8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F5C07" w:rsidRPr="007403D8" w:rsidRDefault="00CF5C07" w:rsidP="00CF5C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Ans 3:</w:t>
      </w:r>
    </w:p>
    <w:p w:rsidR="00CF5C07" w:rsidRDefault="00185769" w:rsidP="00CF5C07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Property of different blood group:-</w:t>
      </w:r>
    </w:p>
    <w:p w:rsidR="00185769" w:rsidRPr="00053D40" w:rsidRDefault="00116A4D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difference in human blood are due to the presence or absence of certain protein </w:t>
      </w:r>
      <w:r w:rsidR="00053D40">
        <w:rPr>
          <w:rFonts w:ascii="Times New Roman" w:hAnsi="Times New Roman" w:cs="Times New Roman"/>
          <w:sz w:val="32"/>
          <w:szCs w:val="32"/>
        </w:rPr>
        <w:t xml:space="preserve">molecule known as antigens and antibodies </w:t>
      </w:r>
    </w:p>
    <w:p w:rsidR="00053D40" w:rsidRPr="00053D40" w:rsidRDefault="00053D40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The antigens are located on the surface of the RBCs and the antibodies are in the blood plasma</w:t>
      </w:r>
    </w:p>
    <w:p w:rsidR="00053D40" w:rsidRPr="00053D40" w:rsidRDefault="00053D40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Individuals have different type and combinations of these molecules</w:t>
      </w:r>
    </w:p>
    <w:p w:rsidR="00053D40" w:rsidRPr="00CD0A8C" w:rsidRDefault="00CD0A8C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blood group you belong to depend on what you have inherited from your parents </w:t>
      </w:r>
    </w:p>
    <w:p w:rsidR="00CD0A8C" w:rsidRPr="00F54586" w:rsidRDefault="00B227F9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There are more than 20 genetically determined blood group system </w:t>
      </w:r>
      <w:r w:rsidR="00F54586">
        <w:rPr>
          <w:rFonts w:ascii="Times New Roman" w:hAnsi="Times New Roman" w:cs="Times New Roman"/>
          <w:sz w:val="32"/>
          <w:szCs w:val="32"/>
        </w:rPr>
        <w:t>known today</w:t>
      </w:r>
    </w:p>
    <w:p w:rsidR="00F54586" w:rsidRPr="0081795D" w:rsidRDefault="00F54586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The ABO and Rhesus RH system are the most important ones </w:t>
      </w:r>
      <w:r w:rsidR="0081795D">
        <w:rPr>
          <w:rFonts w:ascii="Times New Roman" w:hAnsi="Times New Roman" w:cs="Times New Roman"/>
          <w:sz w:val="32"/>
          <w:szCs w:val="32"/>
        </w:rPr>
        <w:t>used for blood transfusions</w:t>
      </w:r>
    </w:p>
    <w:p w:rsidR="0081795D" w:rsidRPr="00BF0FCD" w:rsidRDefault="0081795D" w:rsidP="001857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Not all blood group are compatible with each other. Mixing incompatible blood group leads to blood clumping or </w:t>
      </w:r>
      <w:r w:rsidR="004647E9">
        <w:rPr>
          <w:rFonts w:ascii="Times New Roman" w:hAnsi="Times New Roman" w:cs="Times New Roman"/>
          <w:sz w:val="32"/>
          <w:szCs w:val="32"/>
        </w:rPr>
        <w:t xml:space="preserve">agglutination, which is dangerous for individuals. </w:t>
      </w:r>
    </w:p>
    <w:p w:rsidR="00BF0FCD" w:rsidRDefault="00996FF6" w:rsidP="00BF0FC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Universal donor and universal receipt:-</w:t>
      </w:r>
    </w:p>
    <w:p w:rsidR="00F42FC1" w:rsidRPr="00ED0202" w:rsidRDefault="009A0174" w:rsidP="00F42F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0174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In transfusions of packed red blood cells, individuals with type O Rh D negative blood are often called universal</w:t>
      </w:r>
      <w:r w:rsidRPr="009A017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shd w:val="clear" w:color="auto" w:fill="FFFFFF"/>
        </w:rPr>
        <w:t xml:space="preserve"> </w:t>
      </w:r>
      <w:r w:rsidRPr="009A0174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donors. Those with type AB Rh D positive blood are called universal</w:t>
      </w:r>
      <w:r w:rsidRPr="009A0174">
        <w:rPr>
          <w:rFonts w:ascii="Times New Roman" w:eastAsia="Times New Roman" w:hAnsi="Times New Roman" w:cs="Times New Roman"/>
          <w:b/>
          <w:bCs/>
          <w:color w:val="3C4043"/>
          <w:sz w:val="28"/>
          <w:szCs w:val="28"/>
          <w:shd w:val="clear" w:color="auto" w:fill="FFFFFF"/>
        </w:rPr>
        <w:t xml:space="preserve"> </w:t>
      </w:r>
      <w:r w:rsidRPr="009A0174"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recipients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shd w:val="clear" w:color="auto" w:fill="FFFFFF"/>
        </w:rPr>
        <w:t>.</w:t>
      </w:r>
    </w:p>
    <w:p w:rsidR="00ED0202" w:rsidRPr="00ED0202" w:rsidRDefault="00ED0202" w:rsidP="00ED020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0202" w:rsidRDefault="009D08C8" w:rsidP="009D08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 4:</w:t>
      </w:r>
    </w:p>
    <w:p w:rsidR="00ED0202" w:rsidRDefault="00ED0202" w:rsidP="009D08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Respiratory membrane:-</w:t>
      </w:r>
    </w:p>
    <w:p w:rsidR="00ED0202" w:rsidRPr="00457B7D" w:rsidRDefault="006C76DE" w:rsidP="006C7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 layer of fluid lining the alveolus and containing </w:t>
      </w:r>
      <w:r w:rsidR="00457B7D">
        <w:rPr>
          <w:rFonts w:ascii="Times New Roman" w:hAnsi="Times New Roman" w:cs="Times New Roman"/>
          <w:sz w:val="28"/>
          <w:szCs w:val="28"/>
        </w:rPr>
        <w:t xml:space="preserve">surfactant that reduces the surface tension of the alveolar fluid </w:t>
      </w:r>
    </w:p>
    <w:p w:rsidR="00457B7D" w:rsidRPr="00E8461A" w:rsidRDefault="00457B7D" w:rsidP="006C7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Alveolar epithelium </w:t>
      </w:r>
      <w:r w:rsidR="00E8461A">
        <w:rPr>
          <w:rFonts w:ascii="Times New Roman" w:hAnsi="Times New Roman" w:cs="Times New Roman"/>
          <w:sz w:val="28"/>
          <w:szCs w:val="28"/>
        </w:rPr>
        <w:t>composed of thin epithelial cells</w:t>
      </w:r>
    </w:p>
    <w:p w:rsidR="00E8461A" w:rsidRPr="0083645A" w:rsidRDefault="0083645A" w:rsidP="006C7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Epithelial basement membrane </w:t>
      </w:r>
    </w:p>
    <w:p w:rsidR="0083645A" w:rsidRPr="00735964" w:rsidRDefault="0083645A" w:rsidP="006C7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Thin interstitial space between the alveolar epithelium and the </w:t>
      </w:r>
      <w:r w:rsidR="00735964">
        <w:rPr>
          <w:rFonts w:ascii="Times New Roman" w:hAnsi="Times New Roman" w:cs="Times New Roman"/>
          <w:sz w:val="28"/>
          <w:szCs w:val="28"/>
        </w:rPr>
        <w:t xml:space="preserve">capillary membrane </w:t>
      </w:r>
    </w:p>
    <w:p w:rsidR="00735964" w:rsidRPr="00017E25" w:rsidRDefault="00735964" w:rsidP="006C7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Capillary basement membrane that in many places fuses with the alveolar </w:t>
      </w:r>
      <w:r w:rsidR="00017E25">
        <w:rPr>
          <w:rFonts w:ascii="Times New Roman" w:hAnsi="Times New Roman" w:cs="Times New Roman"/>
          <w:sz w:val="28"/>
          <w:szCs w:val="28"/>
        </w:rPr>
        <w:t xml:space="preserve">epithelial basement membrane </w:t>
      </w:r>
    </w:p>
    <w:p w:rsidR="00017E25" w:rsidRPr="00EC59DF" w:rsidRDefault="00017E25" w:rsidP="006C76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Capillary endothelial membrane </w:t>
      </w:r>
    </w:p>
    <w:p w:rsidR="00EC59DF" w:rsidRDefault="00563C13" w:rsidP="00EC59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Factor that effect diffusion of gases across the membrane:-</w:t>
      </w:r>
    </w:p>
    <w:p w:rsidR="00AE4EFE" w:rsidRDefault="000F3B62" w:rsidP="00EC59D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Factors that effect </w:t>
      </w:r>
      <w:r w:rsidR="00AE4EF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diffusion of gases across the membrane </w:t>
      </w:r>
    </w:p>
    <w:p w:rsidR="00AE4EFE" w:rsidRDefault="00F342F8" w:rsidP="00EC59D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(1) the thickness of the membrane</w:t>
      </w:r>
    </w:p>
    <w:p w:rsidR="00AE4EFE" w:rsidRDefault="00F342F8" w:rsidP="00EC59D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(2) the surface area of the membrane</w:t>
      </w:r>
    </w:p>
    <w:p w:rsidR="005B1644" w:rsidRDefault="00F342F8" w:rsidP="00EC59D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(3) the diffusion coefficient of the gas in the substance of the membrane</w:t>
      </w:r>
    </w:p>
    <w:p w:rsidR="00563C13" w:rsidRDefault="00F342F8" w:rsidP="00EC59D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42F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(4) the partial pressure difference of the gas between the two sides of the membrane.</w:t>
      </w:r>
    </w:p>
    <w:p w:rsidR="00853D74" w:rsidRDefault="00853D74" w:rsidP="00EC59D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3D74" w:rsidRDefault="00853D74" w:rsidP="00EC59D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Ans 5:</w:t>
      </w:r>
    </w:p>
    <w:p w:rsidR="00853D74" w:rsidRDefault="000A0492" w:rsidP="00EC59D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Anatomic and physiologic</w:t>
      </w:r>
      <w:r w:rsidR="00F74E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dead space </w:t>
      </w:r>
    </w:p>
    <w:p w:rsidR="00F74E98" w:rsidRPr="00841B3B" w:rsidRDefault="00F74E98" w:rsidP="00F74E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method measure the volume of all the space of the respiratory system other than the alveoli and their </w:t>
      </w:r>
      <w:r w:rsidR="00841B3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other closely related gas exchange areas,  this space is called the anatomic dead space </w:t>
      </w:r>
    </w:p>
    <w:p w:rsidR="00841B3B" w:rsidRPr="00D114DE" w:rsidRDefault="00841B3B" w:rsidP="00F74E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Sometimes some of  the alveoli themselves are </w:t>
      </w:r>
      <w:r w:rsidR="00D114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nonfunctional or only partially functional because of absent or poor blood flow through the adjacent pulmonary capillaries </w:t>
      </w:r>
    </w:p>
    <w:p w:rsidR="00D114DE" w:rsidRPr="00E51744" w:rsidRDefault="00D114DE" w:rsidP="00F74E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Therefore from a functional point of view these alveoli must </w:t>
      </w:r>
      <w:r w:rsidR="00E5174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also be considered dead space – alveolar dead space </w:t>
      </w:r>
    </w:p>
    <w:p w:rsidR="00E51744" w:rsidRPr="009F65F7" w:rsidRDefault="008030ED" w:rsidP="00F74E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When the alveolar dead space is included in the total measure</w:t>
      </w:r>
      <w:r w:rsidR="00B620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ment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of dead</w:t>
      </w:r>
      <w:r w:rsidR="00B620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space this is called the physiologic dead space </w:t>
      </w:r>
    </w:p>
    <w:p w:rsidR="009F65F7" w:rsidRPr="009F65F7" w:rsidRDefault="009F65F7" w:rsidP="00F74E9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Physiological = Anatomical + alveolar </w:t>
      </w:r>
    </w:p>
    <w:p w:rsidR="00764701" w:rsidRPr="00BF66EB" w:rsidRDefault="009F65F7" w:rsidP="00BF66E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In a normal person the anatomic and physiologic dead space are nearly </w:t>
      </w:r>
      <w:r w:rsidR="007647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equal because all alveoli are functional in the normal lung</w:t>
      </w:r>
    </w:p>
    <w:p w:rsidR="00BF66EB" w:rsidRPr="00BF66EB" w:rsidRDefault="00BF66EB" w:rsidP="00BF66E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Physiological = Anatomical </w:t>
      </w:r>
    </w:p>
    <w:p w:rsidR="00BF66EB" w:rsidRPr="00204358" w:rsidRDefault="00BF66EB" w:rsidP="00BF66E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But in a person </w:t>
      </w:r>
      <w:r w:rsidR="001476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with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partially functional or nonfunctional </w:t>
      </w:r>
      <w:r w:rsidR="0014761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alveoli in some parts of the lungs, the physiologic dead space may be as much as 10 times the volume of the anatomic dead space </w:t>
      </w:r>
      <w:r w:rsidR="00D04BF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 to 2 liters.</w:t>
      </w:r>
    </w:p>
    <w:p w:rsidR="00204358" w:rsidRDefault="004A57F5" w:rsidP="00204358">
      <w:pPr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C</w:t>
      </w:r>
      <w:r w:rsidR="00204358" w:rsidRPr="00B65057">
        <w:rPr>
          <w:rFonts w:ascii="Times New Roman" w:eastAsia="Calibri" w:hAnsi="Times New Roman" w:cs="Times New Roman"/>
          <w:b/>
          <w:sz w:val="32"/>
          <w:szCs w:val="32"/>
          <w:u w:val="single"/>
        </w:rPr>
        <w:t>linical manifestations of pulmonary effusion</w:t>
      </w:r>
      <w:r w:rsidR="00204358" w:rsidRPr="00B65057">
        <w:rPr>
          <w:rFonts w:ascii="Times New Roman" w:eastAsia="Calibri" w:hAnsi="Times New Roman" w:cs="Times New Roman"/>
          <w:b/>
          <w:sz w:val="32"/>
          <w:szCs w:val="32"/>
          <w:u w:val="single"/>
        </w:rPr>
        <w:t>:-</w:t>
      </w:r>
    </w:p>
    <w:p w:rsidR="00B65057" w:rsidRDefault="00267042" w:rsidP="004A57F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The symptom of a patient with a pleural effusion </w:t>
      </w:r>
      <w:r w:rsidR="00684E7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are to a large extent dictated by the underlying process causing the effusion </w:t>
      </w:r>
    </w:p>
    <w:p w:rsidR="008A2547" w:rsidRDefault="008A2547" w:rsidP="004E6DB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Many patients have no symptoms referable</w:t>
      </w:r>
      <w:r w:rsidR="004E6DBF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to the effusion when effusion is small</w:t>
      </w:r>
    </w:p>
    <w:p w:rsidR="004E6DBF" w:rsidRDefault="004E6DBF" w:rsidP="004E6DB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When symptoms </w:t>
      </w:r>
      <w:r w:rsidR="003A0DA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are related to the effusion, they arise either from </w:t>
      </w:r>
      <w:r w:rsidR="002A5B78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inflammation of the pleura or from compromise of pulmonary </w:t>
      </w:r>
      <w:r w:rsidR="00C510CC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mechanics </w:t>
      </w:r>
    </w:p>
    <w:p w:rsidR="00C510CC" w:rsidRDefault="00C510CC" w:rsidP="004E6DB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Pleuritic chest pain is the usual symptom of </w:t>
      </w:r>
      <w:r w:rsidR="000A100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pleural inflammation </w:t>
      </w:r>
    </w:p>
    <w:p w:rsidR="000A100B" w:rsidRDefault="000A100B" w:rsidP="004E6DB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Irritation of the pleural surfaces may also result in a dry, unproductive </w:t>
      </w:r>
      <w:r w:rsidR="005C724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cough</w:t>
      </w:r>
    </w:p>
    <w:p w:rsidR="005C7245" w:rsidRDefault="005C7245" w:rsidP="004E6DB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With large effusions, dyspnea result from lung compression.</w:t>
      </w:r>
    </w:p>
    <w:p w:rsidR="0057604E" w:rsidRDefault="0057604E" w:rsidP="0057604E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7604E" w:rsidRPr="0057604E" w:rsidRDefault="0057604E" w:rsidP="0057604E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-------------------------------------☆☆☆--------------------------------------------------</w:t>
      </w:r>
      <w:bookmarkStart w:id="0" w:name="_GoBack"/>
      <w:bookmarkEnd w:id="0"/>
    </w:p>
    <w:sectPr w:rsidR="0057604E" w:rsidRPr="0057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043"/>
    <w:multiLevelType w:val="hybridMultilevel"/>
    <w:tmpl w:val="FDC28D68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18E2572C"/>
    <w:multiLevelType w:val="hybridMultilevel"/>
    <w:tmpl w:val="022A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60D"/>
    <w:multiLevelType w:val="hybridMultilevel"/>
    <w:tmpl w:val="29E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7DD6"/>
    <w:multiLevelType w:val="hybridMultilevel"/>
    <w:tmpl w:val="9E98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7E12"/>
    <w:multiLevelType w:val="hybridMultilevel"/>
    <w:tmpl w:val="942CF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0BF4"/>
    <w:multiLevelType w:val="hybridMultilevel"/>
    <w:tmpl w:val="66E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81748"/>
    <w:multiLevelType w:val="hybridMultilevel"/>
    <w:tmpl w:val="D980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7EF1"/>
    <w:multiLevelType w:val="hybridMultilevel"/>
    <w:tmpl w:val="5FF2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4BDF"/>
    <w:multiLevelType w:val="hybridMultilevel"/>
    <w:tmpl w:val="1EC2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5D"/>
    <w:rsid w:val="00002BE7"/>
    <w:rsid w:val="00017E25"/>
    <w:rsid w:val="000305A0"/>
    <w:rsid w:val="00053D40"/>
    <w:rsid w:val="00084591"/>
    <w:rsid w:val="0009608A"/>
    <w:rsid w:val="000A0492"/>
    <w:rsid w:val="000A100B"/>
    <w:rsid w:val="000F3B62"/>
    <w:rsid w:val="00116A4D"/>
    <w:rsid w:val="00124991"/>
    <w:rsid w:val="00147615"/>
    <w:rsid w:val="00185769"/>
    <w:rsid w:val="00204358"/>
    <w:rsid w:val="00267042"/>
    <w:rsid w:val="00267741"/>
    <w:rsid w:val="002A5B78"/>
    <w:rsid w:val="002F1104"/>
    <w:rsid w:val="002F5E10"/>
    <w:rsid w:val="002F605D"/>
    <w:rsid w:val="003956B4"/>
    <w:rsid w:val="003A0DAE"/>
    <w:rsid w:val="00457B7D"/>
    <w:rsid w:val="004647E9"/>
    <w:rsid w:val="00483792"/>
    <w:rsid w:val="004903DB"/>
    <w:rsid w:val="004A57F5"/>
    <w:rsid w:val="004E6DBF"/>
    <w:rsid w:val="00563C13"/>
    <w:rsid w:val="0057604E"/>
    <w:rsid w:val="005B1644"/>
    <w:rsid w:val="005B6989"/>
    <w:rsid w:val="005C7245"/>
    <w:rsid w:val="00640BAD"/>
    <w:rsid w:val="00684E7B"/>
    <w:rsid w:val="006C76DE"/>
    <w:rsid w:val="00735964"/>
    <w:rsid w:val="007403D8"/>
    <w:rsid w:val="00764701"/>
    <w:rsid w:val="007901CD"/>
    <w:rsid w:val="008030ED"/>
    <w:rsid w:val="0081795D"/>
    <w:rsid w:val="00833B7A"/>
    <w:rsid w:val="0083645A"/>
    <w:rsid w:val="00841B3B"/>
    <w:rsid w:val="00853D74"/>
    <w:rsid w:val="00890F6A"/>
    <w:rsid w:val="008A2547"/>
    <w:rsid w:val="00945D65"/>
    <w:rsid w:val="00954271"/>
    <w:rsid w:val="00996FF6"/>
    <w:rsid w:val="009A0174"/>
    <w:rsid w:val="009D08C8"/>
    <w:rsid w:val="009E5410"/>
    <w:rsid w:val="009F65F7"/>
    <w:rsid w:val="009F712C"/>
    <w:rsid w:val="00A32B37"/>
    <w:rsid w:val="00AE4EFE"/>
    <w:rsid w:val="00B227F9"/>
    <w:rsid w:val="00B51D2D"/>
    <w:rsid w:val="00B62081"/>
    <w:rsid w:val="00B65057"/>
    <w:rsid w:val="00BF0FCD"/>
    <w:rsid w:val="00BF200F"/>
    <w:rsid w:val="00BF66EB"/>
    <w:rsid w:val="00C510CC"/>
    <w:rsid w:val="00C552A9"/>
    <w:rsid w:val="00CD0A8C"/>
    <w:rsid w:val="00CF5C07"/>
    <w:rsid w:val="00D0482A"/>
    <w:rsid w:val="00D04BFC"/>
    <w:rsid w:val="00D114DE"/>
    <w:rsid w:val="00D77AEE"/>
    <w:rsid w:val="00D93644"/>
    <w:rsid w:val="00DC2360"/>
    <w:rsid w:val="00E51744"/>
    <w:rsid w:val="00E53569"/>
    <w:rsid w:val="00E544A6"/>
    <w:rsid w:val="00E54BA2"/>
    <w:rsid w:val="00E8461A"/>
    <w:rsid w:val="00EA018A"/>
    <w:rsid w:val="00EC59DF"/>
    <w:rsid w:val="00ED0202"/>
    <w:rsid w:val="00F125B5"/>
    <w:rsid w:val="00F25C69"/>
    <w:rsid w:val="00F342F8"/>
    <w:rsid w:val="00F42FC1"/>
    <w:rsid w:val="00F54586"/>
    <w:rsid w:val="00F74E98"/>
    <w:rsid w:val="00F95359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365D"/>
  <w15:docId w15:val="{958A7A93-CCC1-FC47-B24E-FFDA0575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Afra Seyab KHan</cp:lastModifiedBy>
  <cp:revision>15</cp:revision>
  <dcterms:created xsi:type="dcterms:W3CDTF">2020-06-25T05:38:00Z</dcterms:created>
  <dcterms:modified xsi:type="dcterms:W3CDTF">2020-06-25T05:49:00Z</dcterms:modified>
</cp:coreProperties>
</file>