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1292" w14:textId="77777777" w:rsidR="005C6CC1" w:rsidRPr="009C53BD" w:rsidRDefault="005C6CC1">
      <w:pPr>
        <w:rPr>
          <w:b/>
          <w:sz w:val="48"/>
          <w:szCs w:val="48"/>
        </w:rPr>
      </w:pPr>
      <w:r w:rsidRPr="009C53BD">
        <w:rPr>
          <w:b/>
          <w:sz w:val="48"/>
          <w:szCs w:val="48"/>
        </w:rPr>
        <w:t xml:space="preserve">NAME        </w:t>
      </w:r>
      <w:r w:rsidRPr="009C53BD">
        <w:rPr>
          <w:b/>
          <w:sz w:val="48"/>
          <w:szCs w:val="48"/>
        </w:rPr>
        <w:tab/>
      </w:r>
      <w:r w:rsidRPr="009C53BD">
        <w:rPr>
          <w:b/>
          <w:sz w:val="48"/>
          <w:szCs w:val="48"/>
        </w:rPr>
        <w:tab/>
      </w:r>
      <w:r w:rsidRPr="009C53BD">
        <w:rPr>
          <w:b/>
          <w:sz w:val="48"/>
          <w:szCs w:val="48"/>
        </w:rPr>
        <w:tab/>
        <w:t xml:space="preserve"> </w:t>
      </w:r>
      <w:r w:rsidR="009C53BD">
        <w:rPr>
          <w:b/>
          <w:sz w:val="48"/>
          <w:szCs w:val="48"/>
        </w:rPr>
        <w:tab/>
      </w:r>
      <w:r w:rsidR="009C53BD">
        <w:rPr>
          <w:b/>
          <w:sz w:val="48"/>
          <w:szCs w:val="48"/>
        </w:rPr>
        <w:tab/>
      </w:r>
      <w:r w:rsidRPr="009C53BD">
        <w:rPr>
          <w:b/>
          <w:sz w:val="48"/>
          <w:szCs w:val="48"/>
        </w:rPr>
        <w:t>HAJ</w:t>
      </w:r>
      <w:r w:rsidR="009C53BD">
        <w:rPr>
          <w:b/>
          <w:sz w:val="48"/>
          <w:szCs w:val="48"/>
        </w:rPr>
        <w:t>I</w:t>
      </w:r>
      <w:r w:rsidRPr="009C53BD">
        <w:rPr>
          <w:b/>
          <w:sz w:val="48"/>
          <w:szCs w:val="48"/>
        </w:rPr>
        <w:t>RA BIBI</w:t>
      </w:r>
    </w:p>
    <w:p w14:paraId="65FA71D5" w14:textId="77777777" w:rsidR="005C6CC1" w:rsidRPr="009C53BD" w:rsidRDefault="005C6CC1">
      <w:pPr>
        <w:rPr>
          <w:b/>
          <w:sz w:val="48"/>
          <w:szCs w:val="48"/>
        </w:rPr>
      </w:pPr>
      <w:r w:rsidRPr="009C53BD">
        <w:rPr>
          <w:b/>
          <w:sz w:val="48"/>
          <w:szCs w:val="48"/>
        </w:rPr>
        <w:t>ID NO</w:t>
      </w:r>
      <w:r w:rsidRPr="009C53BD">
        <w:rPr>
          <w:b/>
          <w:sz w:val="48"/>
          <w:szCs w:val="48"/>
        </w:rPr>
        <w:tab/>
      </w:r>
      <w:r w:rsidRPr="009C53BD">
        <w:rPr>
          <w:b/>
          <w:sz w:val="48"/>
          <w:szCs w:val="48"/>
        </w:rPr>
        <w:tab/>
      </w:r>
      <w:r w:rsidRPr="009C53BD">
        <w:rPr>
          <w:b/>
          <w:sz w:val="48"/>
          <w:szCs w:val="48"/>
        </w:rPr>
        <w:tab/>
      </w:r>
      <w:r w:rsidRPr="009C53BD">
        <w:rPr>
          <w:b/>
          <w:sz w:val="48"/>
          <w:szCs w:val="48"/>
        </w:rPr>
        <w:tab/>
      </w:r>
      <w:r w:rsidR="009C53BD">
        <w:rPr>
          <w:b/>
          <w:sz w:val="48"/>
          <w:szCs w:val="48"/>
        </w:rPr>
        <w:tab/>
      </w:r>
      <w:r w:rsidR="009C53BD">
        <w:rPr>
          <w:b/>
          <w:sz w:val="48"/>
          <w:szCs w:val="48"/>
        </w:rPr>
        <w:tab/>
      </w:r>
      <w:r w:rsidRPr="009C53BD">
        <w:rPr>
          <w:b/>
          <w:sz w:val="48"/>
          <w:szCs w:val="48"/>
        </w:rPr>
        <w:t>15304</w:t>
      </w:r>
    </w:p>
    <w:p w14:paraId="53EDEFE3" w14:textId="77777777" w:rsidR="005C6CC1" w:rsidRPr="009C53BD" w:rsidRDefault="005C6CC1">
      <w:pPr>
        <w:rPr>
          <w:b/>
          <w:sz w:val="48"/>
          <w:szCs w:val="48"/>
        </w:rPr>
      </w:pPr>
      <w:r w:rsidRPr="009C53BD">
        <w:rPr>
          <w:b/>
          <w:sz w:val="48"/>
          <w:szCs w:val="48"/>
        </w:rPr>
        <w:t>PAPER</w:t>
      </w:r>
      <w:r w:rsidRPr="009C53BD">
        <w:rPr>
          <w:b/>
          <w:sz w:val="48"/>
          <w:szCs w:val="48"/>
        </w:rPr>
        <w:tab/>
      </w:r>
      <w:r w:rsidRPr="009C53BD">
        <w:rPr>
          <w:b/>
          <w:sz w:val="48"/>
          <w:szCs w:val="48"/>
        </w:rPr>
        <w:tab/>
      </w:r>
      <w:r w:rsidRPr="009C53BD">
        <w:rPr>
          <w:b/>
          <w:sz w:val="48"/>
          <w:szCs w:val="48"/>
        </w:rPr>
        <w:tab/>
      </w:r>
      <w:r w:rsidRPr="009C53BD">
        <w:rPr>
          <w:b/>
          <w:sz w:val="48"/>
          <w:szCs w:val="48"/>
        </w:rPr>
        <w:tab/>
      </w:r>
      <w:r w:rsidR="009C53BD">
        <w:rPr>
          <w:b/>
          <w:sz w:val="48"/>
          <w:szCs w:val="48"/>
        </w:rPr>
        <w:tab/>
      </w:r>
      <w:r w:rsidR="009C53BD">
        <w:rPr>
          <w:b/>
          <w:sz w:val="48"/>
          <w:szCs w:val="48"/>
        </w:rPr>
        <w:tab/>
      </w:r>
      <w:r w:rsidRPr="009C53BD">
        <w:rPr>
          <w:b/>
          <w:sz w:val="48"/>
          <w:szCs w:val="48"/>
        </w:rPr>
        <w:t>CRP &amp; CP</w:t>
      </w:r>
    </w:p>
    <w:p w14:paraId="6A18CCCD" w14:textId="77777777" w:rsidR="005C6CC1" w:rsidRDefault="009C53BD">
      <w:pPr>
        <w:rPr>
          <w:b/>
          <w:sz w:val="48"/>
          <w:szCs w:val="48"/>
        </w:rPr>
      </w:pPr>
      <w:r w:rsidRPr="009C53BD">
        <w:rPr>
          <w:b/>
          <w:sz w:val="48"/>
          <w:szCs w:val="48"/>
        </w:rPr>
        <w:t xml:space="preserve">INSTRUCTOR NAME </w:t>
      </w:r>
      <w:r w:rsidRPr="009C53BD">
        <w:rPr>
          <w:b/>
          <w:sz w:val="48"/>
          <w:szCs w:val="48"/>
        </w:rPr>
        <w:tab/>
      </w:r>
      <w:r w:rsidRPr="009C53BD">
        <w:rPr>
          <w:b/>
          <w:sz w:val="48"/>
          <w:szCs w:val="48"/>
        </w:rPr>
        <w:tab/>
        <w:t>MAM MAHEEN GUL</w:t>
      </w:r>
    </w:p>
    <w:p w14:paraId="5475BF8B" w14:textId="77777777" w:rsidR="00DE2190" w:rsidRPr="009C53BD" w:rsidRDefault="00DE2190">
      <w:pPr>
        <w:rPr>
          <w:b/>
          <w:sz w:val="48"/>
          <w:szCs w:val="48"/>
        </w:rPr>
      </w:pPr>
      <w:r>
        <w:rPr>
          <w:b/>
          <w:sz w:val="48"/>
          <w:szCs w:val="48"/>
        </w:rPr>
        <w:t xml:space="preserve">SEMESTER </w:t>
      </w:r>
      <w:r>
        <w:rPr>
          <w:b/>
          <w:sz w:val="48"/>
          <w:szCs w:val="48"/>
        </w:rPr>
        <w:tab/>
      </w:r>
      <w:r>
        <w:rPr>
          <w:b/>
          <w:sz w:val="48"/>
          <w:szCs w:val="48"/>
        </w:rPr>
        <w:tab/>
      </w:r>
      <w:r>
        <w:rPr>
          <w:b/>
          <w:sz w:val="48"/>
          <w:szCs w:val="48"/>
        </w:rPr>
        <w:tab/>
      </w:r>
      <w:r>
        <w:rPr>
          <w:b/>
          <w:sz w:val="48"/>
          <w:szCs w:val="48"/>
        </w:rPr>
        <w:tab/>
        <w:t>4</w:t>
      </w:r>
      <w:r w:rsidRPr="00DE2190">
        <w:rPr>
          <w:b/>
          <w:sz w:val="48"/>
          <w:szCs w:val="48"/>
          <w:vertAlign w:val="superscript"/>
        </w:rPr>
        <w:t>TH</w:t>
      </w:r>
      <w:r>
        <w:rPr>
          <w:b/>
          <w:sz w:val="48"/>
          <w:szCs w:val="48"/>
        </w:rPr>
        <w:t xml:space="preserve"> </w:t>
      </w:r>
    </w:p>
    <w:p w14:paraId="444226FD" w14:textId="77777777" w:rsidR="005C6CC1" w:rsidRDefault="005C6CC1">
      <w:pPr>
        <w:rPr>
          <w:b/>
        </w:rPr>
      </w:pPr>
    </w:p>
    <w:p w14:paraId="38DE9C8A" w14:textId="77777777" w:rsidR="005C6CC1" w:rsidRDefault="005C6CC1">
      <w:pPr>
        <w:rPr>
          <w:b/>
        </w:rPr>
      </w:pPr>
    </w:p>
    <w:p w14:paraId="4F2831CC" w14:textId="77777777" w:rsidR="005C6CC1" w:rsidRDefault="005C6CC1">
      <w:pPr>
        <w:rPr>
          <w:b/>
        </w:rPr>
      </w:pPr>
    </w:p>
    <w:p w14:paraId="540B4CE1" w14:textId="77777777" w:rsidR="005C6CC1" w:rsidRDefault="005C6CC1">
      <w:pPr>
        <w:rPr>
          <w:b/>
        </w:rPr>
      </w:pPr>
    </w:p>
    <w:p w14:paraId="5091318C" w14:textId="77777777" w:rsidR="005C6CC1" w:rsidRDefault="005C6CC1">
      <w:pPr>
        <w:rPr>
          <w:b/>
        </w:rPr>
      </w:pPr>
    </w:p>
    <w:p w14:paraId="6D26B195" w14:textId="77777777" w:rsidR="005C6CC1" w:rsidRDefault="005C6CC1">
      <w:pPr>
        <w:rPr>
          <w:b/>
        </w:rPr>
      </w:pPr>
    </w:p>
    <w:p w14:paraId="00778649" w14:textId="77777777" w:rsidR="005C6CC1" w:rsidRDefault="005C6CC1">
      <w:pPr>
        <w:rPr>
          <w:b/>
        </w:rPr>
      </w:pPr>
    </w:p>
    <w:p w14:paraId="04675A64" w14:textId="77777777" w:rsidR="005C6CC1" w:rsidRDefault="005C6CC1">
      <w:pPr>
        <w:rPr>
          <w:b/>
        </w:rPr>
      </w:pPr>
    </w:p>
    <w:p w14:paraId="0C0366D4" w14:textId="77777777" w:rsidR="005C6CC1" w:rsidRDefault="005C6CC1">
      <w:pPr>
        <w:rPr>
          <w:b/>
        </w:rPr>
      </w:pPr>
    </w:p>
    <w:p w14:paraId="798C9056" w14:textId="77777777" w:rsidR="005C6CC1" w:rsidRDefault="005C6CC1">
      <w:pPr>
        <w:rPr>
          <w:b/>
        </w:rPr>
      </w:pPr>
    </w:p>
    <w:p w14:paraId="208A3274" w14:textId="77777777" w:rsidR="005C6CC1" w:rsidRDefault="005C6CC1">
      <w:pPr>
        <w:rPr>
          <w:b/>
        </w:rPr>
      </w:pPr>
    </w:p>
    <w:p w14:paraId="70BE57E4" w14:textId="77777777" w:rsidR="005C6CC1" w:rsidRDefault="005C6CC1">
      <w:pPr>
        <w:rPr>
          <w:b/>
        </w:rPr>
      </w:pPr>
    </w:p>
    <w:p w14:paraId="513EB82B" w14:textId="77777777" w:rsidR="005C6CC1" w:rsidRDefault="005C6CC1">
      <w:pPr>
        <w:rPr>
          <w:b/>
        </w:rPr>
      </w:pPr>
    </w:p>
    <w:p w14:paraId="6E2C2AA7" w14:textId="77777777" w:rsidR="005C6CC1" w:rsidRDefault="005C6CC1">
      <w:pPr>
        <w:rPr>
          <w:b/>
        </w:rPr>
      </w:pPr>
    </w:p>
    <w:p w14:paraId="2F6D2B20" w14:textId="77777777" w:rsidR="005C6CC1" w:rsidRDefault="005C6CC1">
      <w:pPr>
        <w:rPr>
          <w:b/>
        </w:rPr>
      </w:pPr>
    </w:p>
    <w:p w14:paraId="0A1C382E" w14:textId="77777777" w:rsidR="005C6CC1" w:rsidRDefault="005C6CC1">
      <w:pPr>
        <w:rPr>
          <w:b/>
        </w:rPr>
      </w:pPr>
    </w:p>
    <w:p w14:paraId="77A3F01C" w14:textId="77777777" w:rsidR="005C6CC1" w:rsidRDefault="005C6CC1">
      <w:pPr>
        <w:rPr>
          <w:b/>
        </w:rPr>
      </w:pPr>
    </w:p>
    <w:p w14:paraId="673F533D" w14:textId="77777777" w:rsidR="005C6CC1" w:rsidRDefault="005C6CC1">
      <w:pPr>
        <w:rPr>
          <w:b/>
        </w:rPr>
      </w:pPr>
    </w:p>
    <w:p w14:paraId="036928C0" w14:textId="77777777" w:rsidR="005C6CC1" w:rsidRDefault="005C6CC1">
      <w:pPr>
        <w:rPr>
          <w:b/>
        </w:rPr>
      </w:pPr>
    </w:p>
    <w:p w14:paraId="744CFC34" w14:textId="77777777" w:rsidR="005C6CC1" w:rsidRDefault="005C6CC1">
      <w:pPr>
        <w:rPr>
          <w:b/>
        </w:rPr>
      </w:pPr>
    </w:p>
    <w:p w14:paraId="48744868" w14:textId="77777777" w:rsidR="004F7A99" w:rsidRDefault="00D30EB1">
      <w:pPr>
        <w:rPr>
          <w:rFonts w:ascii="Arial" w:hAnsi="Arial" w:cs="Arial"/>
          <w:color w:val="222222"/>
          <w:shd w:val="clear" w:color="auto" w:fill="FFFFFF"/>
        </w:rPr>
      </w:pPr>
      <w:r w:rsidRPr="00D30EB1">
        <w:rPr>
          <w:b/>
        </w:rPr>
        <w:lastRenderedPageBreak/>
        <w:t>Q: no1</w:t>
      </w:r>
      <w:r>
        <w:rPr>
          <w:b/>
        </w:rPr>
        <w:t>:</w:t>
      </w:r>
      <w:r>
        <w:rPr>
          <w:rFonts w:ascii="Arial" w:hAnsi="Arial" w:cs="Arial"/>
          <w:color w:val="222222"/>
          <w:shd w:val="clear" w:color="auto" w:fill="FFFFFF"/>
        </w:rPr>
        <w:t>A </w:t>
      </w:r>
      <w:r w:rsidRPr="00D30EB1">
        <w:rPr>
          <w:rFonts w:ascii="Arial" w:hAnsi="Arial" w:cs="Arial"/>
          <w:color w:val="222222"/>
          <w:shd w:val="clear" w:color="auto" w:fill="FFFFFF"/>
        </w:rPr>
        <w:t>barium swallow</w:t>
      </w:r>
      <w:r>
        <w:rPr>
          <w:rFonts w:ascii="Arial" w:hAnsi="Arial" w:cs="Arial"/>
          <w:color w:val="222222"/>
          <w:shd w:val="clear" w:color="auto" w:fill="FFFFFF"/>
        </w:rPr>
        <w:t> is a test that may be used to determine the cause of painful </w:t>
      </w:r>
      <w:r w:rsidRPr="00D30EB1">
        <w:rPr>
          <w:rFonts w:ascii="Arial" w:hAnsi="Arial" w:cs="Arial"/>
          <w:color w:val="222222"/>
          <w:shd w:val="clear" w:color="auto" w:fill="FFFFFF"/>
        </w:rPr>
        <w:t>swallowing</w:t>
      </w:r>
      <w:r>
        <w:rPr>
          <w:rFonts w:ascii="Arial" w:hAnsi="Arial" w:cs="Arial"/>
          <w:color w:val="222222"/>
          <w:shd w:val="clear" w:color="auto" w:fill="FFFFFF"/>
        </w:rPr>
        <w:t>, difficulty with </w:t>
      </w:r>
      <w:r w:rsidRPr="00D30EB1">
        <w:rPr>
          <w:rFonts w:ascii="Arial" w:hAnsi="Arial" w:cs="Arial"/>
          <w:color w:val="222222"/>
          <w:shd w:val="clear" w:color="auto" w:fill="FFFFFF"/>
        </w:rPr>
        <w:t>swallowing</w:t>
      </w:r>
      <w:r>
        <w:rPr>
          <w:rFonts w:ascii="Arial" w:hAnsi="Arial" w:cs="Arial"/>
          <w:color w:val="222222"/>
          <w:shd w:val="clear" w:color="auto" w:fill="FFFFFF"/>
        </w:rPr>
        <w:t>.</w:t>
      </w:r>
    </w:p>
    <w:p w14:paraId="300A9ED1" w14:textId="77777777" w:rsidR="00D30EB1" w:rsidRDefault="00D30EB1">
      <w:pPr>
        <w:rPr>
          <w:rFonts w:ascii="Arial" w:hAnsi="Arial" w:cs="Arial"/>
          <w:color w:val="000000"/>
          <w:sz w:val="21"/>
          <w:szCs w:val="21"/>
        </w:rPr>
      </w:pPr>
      <w:r w:rsidRPr="00D30EB1">
        <w:rPr>
          <w:rFonts w:ascii="Arial" w:hAnsi="Arial" w:cs="Arial"/>
          <w:b/>
          <w:color w:val="222222"/>
          <w:shd w:val="clear" w:color="auto" w:fill="FFFFFF"/>
        </w:rPr>
        <w:t>Protocols for barium swallow</w:t>
      </w:r>
      <w:r>
        <w:rPr>
          <w:rFonts w:ascii="Arial" w:hAnsi="Arial" w:cs="Arial"/>
          <w:b/>
          <w:color w:val="222222"/>
          <w:shd w:val="clear" w:color="auto" w:fill="FFFFFF"/>
        </w:rPr>
        <w:t>:</w:t>
      </w:r>
    </w:p>
    <w:p w14:paraId="227B7405" w14:textId="77777777" w:rsidR="00D30EB1" w:rsidRPr="00D30EB1" w:rsidRDefault="0029647F" w:rsidP="00D30EB1">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Patient </w:t>
      </w:r>
      <w:r w:rsidRPr="00D30EB1">
        <w:rPr>
          <w:rFonts w:ascii="Arial" w:hAnsi="Arial" w:cs="Arial"/>
          <w:color w:val="000000"/>
          <w:sz w:val="21"/>
          <w:szCs w:val="21"/>
        </w:rPr>
        <w:t>may</w:t>
      </w:r>
      <w:r w:rsidR="00D30EB1" w:rsidRPr="00D30EB1">
        <w:rPr>
          <w:rFonts w:ascii="Arial" w:hAnsi="Arial" w:cs="Arial"/>
          <w:color w:val="000000"/>
          <w:sz w:val="21"/>
          <w:szCs w:val="21"/>
        </w:rPr>
        <w:t xml:space="preserve"> be asked to eat a low-fiber </w:t>
      </w:r>
      <w:hyperlink r:id="rId5" w:tgtFrame="_blank" w:tooltip="Learning Quiz" w:history="1">
        <w:r w:rsidR="00D30EB1" w:rsidRPr="00D30EB1">
          <w:rPr>
            <w:color w:val="000000"/>
          </w:rPr>
          <w:t>diet</w:t>
        </w:r>
      </w:hyperlink>
      <w:r w:rsidR="00D30EB1" w:rsidRPr="00D30EB1">
        <w:rPr>
          <w:rFonts w:ascii="Arial" w:hAnsi="Arial" w:cs="Arial"/>
          <w:color w:val="000000"/>
          <w:sz w:val="21"/>
          <w:szCs w:val="21"/>
        </w:rPr>
        <w:t xml:space="preserve"> for 2 to 3 days before the barium swallow test. </w:t>
      </w:r>
      <w:r>
        <w:rPr>
          <w:rFonts w:ascii="Arial" w:hAnsi="Arial" w:cs="Arial"/>
          <w:color w:val="000000"/>
          <w:sz w:val="21"/>
          <w:szCs w:val="21"/>
        </w:rPr>
        <w:t xml:space="preserve">Patient </w:t>
      </w:r>
      <w:r w:rsidR="00D30EB1" w:rsidRPr="00D30EB1">
        <w:rPr>
          <w:rFonts w:ascii="Arial" w:hAnsi="Arial" w:cs="Arial"/>
          <w:color w:val="000000"/>
          <w:sz w:val="21"/>
          <w:szCs w:val="21"/>
        </w:rPr>
        <w:t>will be asked not to eat or smoke after midnight before the exam.</w:t>
      </w:r>
    </w:p>
    <w:p w14:paraId="751EB137" w14:textId="77777777" w:rsidR="00D30EB1" w:rsidRDefault="0029647F" w:rsidP="00D30EB1">
      <w:pPr>
        <w:pStyle w:val="ListParagraph"/>
        <w:numPr>
          <w:ilvl w:val="0"/>
          <w:numId w:val="1"/>
        </w:numPr>
        <w:rPr>
          <w:rFonts w:ascii="Arial" w:hAnsi="Arial" w:cs="Arial"/>
          <w:color w:val="000000"/>
          <w:sz w:val="21"/>
          <w:szCs w:val="21"/>
        </w:rPr>
      </w:pPr>
      <w:r>
        <w:rPr>
          <w:rFonts w:ascii="Arial" w:hAnsi="Arial" w:cs="Arial"/>
          <w:color w:val="000000"/>
          <w:sz w:val="21"/>
          <w:szCs w:val="21"/>
        </w:rPr>
        <w:t>Patient</w:t>
      </w:r>
      <w:r w:rsidR="00D30EB1" w:rsidRPr="00D30EB1">
        <w:rPr>
          <w:rFonts w:ascii="Arial" w:hAnsi="Arial" w:cs="Arial"/>
          <w:color w:val="000000"/>
          <w:sz w:val="21"/>
          <w:szCs w:val="21"/>
        </w:rPr>
        <w:t>will wear a hospital gown and told to remove all jewelry including body jewelry such as </w:t>
      </w:r>
      <w:hyperlink r:id="rId6" w:history="1">
        <w:r w:rsidR="00D30EB1" w:rsidRPr="00D30EB1">
          <w:rPr>
            <w:color w:val="000000"/>
          </w:rPr>
          <w:t>nipple</w:t>
        </w:r>
      </w:hyperlink>
      <w:r w:rsidR="00D30EB1" w:rsidRPr="00D30EB1">
        <w:rPr>
          <w:rFonts w:ascii="Arial" w:hAnsi="Arial" w:cs="Arial"/>
          <w:color w:val="000000"/>
          <w:sz w:val="21"/>
          <w:szCs w:val="21"/>
        </w:rPr>
        <w:t> and belly-button rings, </w:t>
      </w:r>
      <w:hyperlink r:id="rId7" w:tgtFrame="_blank" w:tooltip="Medical Image" w:history="1">
        <w:r w:rsidR="00D30EB1" w:rsidRPr="00D30EB1">
          <w:rPr>
            <w:color w:val="000000"/>
          </w:rPr>
          <w:t>dentures</w:t>
        </w:r>
      </w:hyperlink>
      <w:r w:rsidR="00D30EB1" w:rsidRPr="00D30EB1">
        <w:rPr>
          <w:rFonts w:ascii="Arial" w:hAnsi="Arial" w:cs="Arial"/>
          <w:color w:val="000000"/>
          <w:sz w:val="21"/>
          <w:szCs w:val="21"/>
        </w:rPr>
        <w:t>, hair clips, or other objects that might show up on an X-ray.</w:t>
      </w:r>
    </w:p>
    <w:p w14:paraId="35817D2C" w14:textId="77777777" w:rsidR="00D30EB1" w:rsidRPr="00D30EB1" w:rsidRDefault="0029647F" w:rsidP="00D30EB1">
      <w:pPr>
        <w:numPr>
          <w:ilvl w:val="0"/>
          <w:numId w:val="1"/>
        </w:numPr>
        <w:spacing w:before="100" w:beforeAutospacing="1" w:after="100" w:afterAutospacing="1" w:line="420" w:lineRule="atLeast"/>
        <w:rPr>
          <w:rFonts w:ascii="Arial" w:eastAsia="Times New Roman" w:hAnsi="Arial" w:cs="Arial"/>
          <w:color w:val="000000"/>
          <w:sz w:val="21"/>
          <w:szCs w:val="21"/>
        </w:rPr>
      </w:pPr>
      <w:r>
        <w:rPr>
          <w:rFonts w:ascii="Arial" w:hAnsi="Arial" w:cs="Arial"/>
          <w:color w:val="000000"/>
          <w:sz w:val="21"/>
          <w:szCs w:val="21"/>
        </w:rPr>
        <w:t>Patient</w:t>
      </w:r>
      <w:r w:rsidR="00D30EB1" w:rsidRPr="00D30EB1">
        <w:rPr>
          <w:rFonts w:ascii="Arial" w:eastAsia="Times New Roman" w:hAnsi="Arial" w:cs="Arial"/>
          <w:color w:val="000000"/>
          <w:sz w:val="21"/>
          <w:szCs w:val="21"/>
        </w:rPr>
        <w:t xml:space="preserve"> will drink about 1 1/2 cups of a barium preparation-a chalky drink with the consistency (but not the flavor) of a milk shake. Children will drink less.</w:t>
      </w:r>
    </w:p>
    <w:p w14:paraId="43ABD3EE" w14:textId="77777777" w:rsidR="00D30EB1" w:rsidRPr="00D30EB1" w:rsidRDefault="00D30EB1" w:rsidP="00D30EB1">
      <w:pPr>
        <w:numPr>
          <w:ilvl w:val="0"/>
          <w:numId w:val="1"/>
        </w:numPr>
        <w:spacing w:before="100" w:beforeAutospacing="1" w:after="100" w:afterAutospacing="1" w:line="420" w:lineRule="atLeast"/>
        <w:rPr>
          <w:rFonts w:ascii="Arial" w:eastAsia="Times New Roman" w:hAnsi="Arial" w:cs="Arial"/>
          <w:color w:val="000000"/>
          <w:sz w:val="21"/>
          <w:szCs w:val="21"/>
        </w:rPr>
      </w:pPr>
      <w:r w:rsidRPr="00D30EB1">
        <w:rPr>
          <w:rFonts w:ascii="Arial" w:eastAsia="Times New Roman" w:hAnsi="Arial" w:cs="Arial"/>
          <w:color w:val="000000"/>
          <w:sz w:val="21"/>
          <w:szCs w:val="21"/>
        </w:rPr>
        <w:t>The barium can be seen on an X-ray as it passes through the digestive tract.</w:t>
      </w:r>
    </w:p>
    <w:p w14:paraId="31EE2E39" w14:textId="77777777" w:rsidR="00D30EB1" w:rsidRPr="00D30EB1" w:rsidRDefault="00D30EB1" w:rsidP="00D30EB1">
      <w:pPr>
        <w:numPr>
          <w:ilvl w:val="0"/>
          <w:numId w:val="1"/>
        </w:numPr>
        <w:spacing w:before="100" w:beforeAutospacing="1" w:after="100" w:afterAutospacing="1" w:line="420" w:lineRule="atLeast"/>
        <w:rPr>
          <w:rFonts w:ascii="Arial" w:eastAsia="Times New Roman" w:hAnsi="Arial" w:cs="Arial"/>
          <w:color w:val="000000"/>
          <w:sz w:val="21"/>
          <w:szCs w:val="21"/>
        </w:rPr>
      </w:pPr>
      <w:r w:rsidRPr="00D30EB1">
        <w:rPr>
          <w:rFonts w:ascii="Arial" w:eastAsia="Times New Roman" w:hAnsi="Arial" w:cs="Arial"/>
          <w:color w:val="000000"/>
          <w:sz w:val="21"/>
          <w:szCs w:val="21"/>
        </w:rPr>
        <w:t>The barium swallow procedure may take about 30 minutes to finish. In certain cases, it may take up to 60 minutes to fill the stomach.</w:t>
      </w:r>
    </w:p>
    <w:p w14:paraId="1970159A" w14:textId="77777777" w:rsidR="00D30EB1" w:rsidRPr="00D30EB1" w:rsidRDefault="0029647F" w:rsidP="00D30EB1">
      <w:pPr>
        <w:numPr>
          <w:ilvl w:val="0"/>
          <w:numId w:val="1"/>
        </w:numPr>
        <w:spacing w:before="100" w:beforeAutospacing="1" w:after="100" w:afterAutospacing="1" w:line="420" w:lineRule="atLeast"/>
        <w:rPr>
          <w:rFonts w:ascii="Arial" w:eastAsia="Times New Roman" w:hAnsi="Arial" w:cs="Arial"/>
          <w:color w:val="000000"/>
          <w:sz w:val="21"/>
          <w:szCs w:val="21"/>
        </w:rPr>
      </w:pPr>
      <w:r>
        <w:rPr>
          <w:rFonts w:ascii="Arial" w:hAnsi="Arial" w:cs="Arial"/>
          <w:color w:val="000000"/>
          <w:sz w:val="21"/>
          <w:szCs w:val="21"/>
        </w:rPr>
        <w:t>Patient</w:t>
      </w:r>
      <w:r w:rsidR="00D30EB1" w:rsidRPr="00D30EB1">
        <w:rPr>
          <w:rFonts w:ascii="Arial" w:eastAsia="Times New Roman" w:hAnsi="Arial" w:cs="Arial"/>
          <w:color w:val="000000"/>
          <w:sz w:val="21"/>
          <w:szCs w:val="21"/>
        </w:rPr>
        <w:t xml:space="preserve"> will be strapped securely on your back on a table that tilts forward. X-rays to examine your heart, </w:t>
      </w:r>
      <w:hyperlink r:id="rId8" w:tgtFrame="_blank" w:tooltip="Medical Image" w:history="1">
        <w:r w:rsidR="00D30EB1" w:rsidRPr="00D30EB1">
          <w:rPr>
            <w:rFonts w:ascii="Arial" w:eastAsia="Times New Roman" w:hAnsi="Arial" w:cs="Arial"/>
            <w:color w:val="000000"/>
            <w:sz w:val="21"/>
            <w:szCs w:val="21"/>
          </w:rPr>
          <w:t>lungs</w:t>
        </w:r>
      </w:hyperlink>
      <w:r w:rsidR="00D30EB1" w:rsidRPr="00D30EB1">
        <w:rPr>
          <w:rFonts w:ascii="Arial" w:eastAsia="Times New Roman" w:hAnsi="Arial" w:cs="Arial"/>
          <w:color w:val="000000"/>
          <w:sz w:val="21"/>
          <w:szCs w:val="21"/>
        </w:rPr>
        <w:t xml:space="preserve">, and abdomen will be taken before you drink the barium. </w:t>
      </w:r>
      <w:r>
        <w:rPr>
          <w:rFonts w:ascii="Arial" w:hAnsi="Arial" w:cs="Arial"/>
          <w:color w:val="000000"/>
          <w:sz w:val="21"/>
          <w:szCs w:val="21"/>
        </w:rPr>
        <w:t>Patient</w:t>
      </w:r>
      <w:r w:rsidR="00D30EB1" w:rsidRPr="00D30EB1">
        <w:rPr>
          <w:rFonts w:ascii="Arial" w:eastAsia="Times New Roman" w:hAnsi="Arial" w:cs="Arial"/>
          <w:color w:val="000000"/>
          <w:sz w:val="21"/>
          <w:szCs w:val="21"/>
        </w:rPr>
        <w:t xml:space="preserve"> then will be asked to swallow the barium mixture.</w:t>
      </w:r>
    </w:p>
    <w:p w14:paraId="7BF98710" w14:textId="77777777" w:rsidR="00D30EB1" w:rsidRDefault="00D30EB1" w:rsidP="00D30EB1">
      <w:pPr>
        <w:numPr>
          <w:ilvl w:val="0"/>
          <w:numId w:val="1"/>
        </w:numPr>
        <w:spacing w:before="100" w:beforeAutospacing="1" w:after="100" w:afterAutospacing="1" w:line="420" w:lineRule="atLeast"/>
        <w:rPr>
          <w:rFonts w:ascii="Arial" w:eastAsia="Times New Roman" w:hAnsi="Arial" w:cs="Arial"/>
          <w:color w:val="000000"/>
          <w:sz w:val="21"/>
          <w:szCs w:val="21"/>
        </w:rPr>
      </w:pPr>
      <w:r w:rsidRPr="00D30EB1">
        <w:rPr>
          <w:rFonts w:ascii="Arial" w:eastAsia="Times New Roman" w:hAnsi="Arial" w:cs="Arial"/>
          <w:color w:val="000000"/>
          <w:sz w:val="21"/>
          <w:szCs w:val="21"/>
        </w:rPr>
        <w:t>X-rays will be taken again as the barium moves t</w:t>
      </w:r>
      <w:r w:rsidR="0029647F">
        <w:rPr>
          <w:rFonts w:ascii="Arial" w:eastAsia="Times New Roman" w:hAnsi="Arial" w:cs="Arial"/>
          <w:color w:val="000000"/>
          <w:sz w:val="21"/>
          <w:szCs w:val="21"/>
        </w:rPr>
        <w:t xml:space="preserve">hrough the digestive system. </w:t>
      </w:r>
      <w:r w:rsidR="0029647F">
        <w:rPr>
          <w:rFonts w:ascii="Arial" w:hAnsi="Arial" w:cs="Arial"/>
          <w:color w:val="000000"/>
          <w:sz w:val="21"/>
          <w:szCs w:val="21"/>
        </w:rPr>
        <w:t>Patient</w:t>
      </w:r>
      <w:r w:rsidRPr="00D30EB1">
        <w:rPr>
          <w:rFonts w:ascii="Arial" w:eastAsia="Times New Roman" w:hAnsi="Arial" w:cs="Arial"/>
          <w:color w:val="000000"/>
          <w:sz w:val="21"/>
          <w:szCs w:val="21"/>
        </w:rPr>
        <w:t xml:space="preserve"> will be asked to take more swallow</w:t>
      </w:r>
      <w:r w:rsidR="0029647F">
        <w:rPr>
          <w:rFonts w:ascii="Arial" w:eastAsia="Times New Roman" w:hAnsi="Arial" w:cs="Arial"/>
          <w:color w:val="000000"/>
          <w:sz w:val="21"/>
          <w:szCs w:val="21"/>
        </w:rPr>
        <w:t>s so more pictures can be taken on different positions.</w:t>
      </w:r>
    </w:p>
    <w:p w14:paraId="2EBF7403" w14:textId="77777777" w:rsidR="00630A83" w:rsidRDefault="0029647F" w:rsidP="0029647F">
      <w:pPr>
        <w:spacing w:before="100" w:beforeAutospacing="1" w:after="100" w:afterAutospacing="1" w:line="420" w:lineRule="atLeast"/>
        <w:rPr>
          <w:rFonts w:ascii="Arial" w:eastAsia="Times New Roman" w:hAnsi="Arial" w:cs="Arial"/>
          <w:b/>
          <w:color w:val="000000"/>
          <w:sz w:val="21"/>
          <w:szCs w:val="21"/>
        </w:rPr>
      </w:pPr>
      <w:r w:rsidRPr="0029647F">
        <w:rPr>
          <w:rFonts w:ascii="Arial" w:eastAsia="Times New Roman" w:hAnsi="Arial" w:cs="Arial"/>
          <w:b/>
          <w:color w:val="000000"/>
          <w:sz w:val="21"/>
          <w:szCs w:val="21"/>
        </w:rPr>
        <w:t>Q: no 2:</w:t>
      </w:r>
      <w:r>
        <w:rPr>
          <w:rFonts w:ascii="Arial" w:eastAsia="Times New Roman" w:hAnsi="Arial" w:cs="Arial"/>
          <w:b/>
          <w:color w:val="000000"/>
          <w:sz w:val="21"/>
          <w:szCs w:val="21"/>
        </w:rPr>
        <w:t xml:space="preserve"> Positions used in barium Meal:</w:t>
      </w:r>
      <w:r w:rsidR="00B32D2E">
        <w:t>There is a great variation in views recommended, and the following is only the scheme used in our departments. In some departments fewer films are taken to reduce the cost and radiation dose</w:t>
      </w:r>
    </w:p>
    <w:p w14:paraId="01D27308" w14:textId="77777777" w:rsidR="00630A83" w:rsidRPr="00630A83" w:rsidRDefault="00630A83" w:rsidP="00630A83">
      <w:pPr>
        <w:pStyle w:val="ListParagraph"/>
        <w:numPr>
          <w:ilvl w:val="0"/>
          <w:numId w:val="6"/>
        </w:numPr>
        <w:tabs>
          <w:tab w:val="left" w:pos="2598"/>
        </w:tabs>
        <w:spacing w:before="100" w:beforeAutospacing="1" w:after="100" w:afterAutospacing="1" w:line="420" w:lineRule="atLeast"/>
        <w:rPr>
          <w:rFonts w:ascii="Arial" w:eastAsia="Times New Roman" w:hAnsi="Arial" w:cs="Arial"/>
          <w:b/>
          <w:color w:val="000000"/>
          <w:sz w:val="21"/>
          <w:szCs w:val="21"/>
        </w:rPr>
      </w:pPr>
      <w:r w:rsidRPr="00630A83">
        <w:rPr>
          <w:rFonts w:ascii="Arial" w:eastAsia="Times New Roman" w:hAnsi="Arial" w:cs="Arial"/>
          <w:color w:val="000000"/>
          <w:sz w:val="21"/>
          <w:szCs w:val="21"/>
        </w:rPr>
        <w:t>Supine –body and antrum</w:t>
      </w:r>
      <w:r>
        <w:rPr>
          <w:rFonts w:ascii="Arial" w:eastAsia="Times New Roman" w:hAnsi="Arial" w:cs="Arial"/>
          <w:color w:val="000000"/>
          <w:sz w:val="21"/>
          <w:szCs w:val="21"/>
        </w:rPr>
        <w:t>.</w:t>
      </w:r>
    </w:p>
    <w:p w14:paraId="0193A884" w14:textId="77777777" w:rsidR="00630A83" w:rsidRDefault="00212ABE" w:rsidP="00630A83">
      <w:pPr>
        <w:pStyle w:val="ListParagraph"/>
        <w:numPr>
          <w:ilvl w:val="0"/>
          <w:numId w:val="6"/>
        </w:numPr>
        <w:tabs>
          <w:tab w:val="left" w:pos="2598"/>
        </w:tabs>
        <w:spacing w:before="100" w:beforeAutospacing="1" w:after="100" w:afterAutospacing="1" w:line="420" w:lineRule="atLeast"/>
        <w:rPr>
          <w:rFonts w:ascii="Arial" w:eastAsia="Times New Roman" w:hAnsi="Arial" w:cs="Arial"/>
          <w:b/>
          <w:color w:val="000000"/>
          <w:sz w:val="21"/>
          <w:szCs w:val="21"/>
        </w:rPr>
      </w:pPr>
      <w:hyperlink r:id="rId9" w:tgtFrame="_blank" w:tooltip="Right lateral position - fundus&#10; " w:history="1">
        <w:r w:rsidR="00630A83" w:rsidRPr="0029647F">
          <w:rPr>
            <w:rFonts w:ascii="Arial" w:eastAsia="Times New Roman" w:hAnsi="Arial" w:cs="Arial"/>
            <w:color w:val="000000"/>
            <w:sz w:val="21"/>
            <w:szCs w:val="21"/>
          </w:rPr>
          <w:t> </w:t>
        </w:r>
      </w:hyperlink>
      <w:r w:rsidR="00630A83" w:rsidRPr="0029647F">
        <w:rPr>
          <w:rFonts w:ascii="Arial" w:eastAsia="Times New Roman" w:hAnsi="Arial" w:cs="Arial"/>
          <w:color w:val="000000"/>
          <w:sz w:val="21"/>
          <w:szCs w:val="21"/>
        </w:rPr>
        <w:t>Right lateral position- fundus</w:t>
      </w:r>
      <w:r w:rsidR="00630A83">
        <w:rPr>
          <w:rFonts w:ascii="Arial" w:eastAsia="Times New Roman" w:hAnsi="Arial" w:cs="Arial"/>
          <w:b/>
          <w:color w:val="000000"/>
          <w:sz w:val="21"/>
          <w:szCs w:val="21"/>
        </w:rPr>
        <w:t>.</w:t>
      </w:r>
    </w:p>
    <w:p w14:paraId="18B482AF" w14:textId="77777777" w:rsidR="00630A83" w:rsidRPr="00630A83" w:rsidRDefault="00630A83" w:rsidP="00630A83">
      <w:pPr>
        <w:pStyle w:val="ListParagraph"/>
        <w:numPr>
          <w:ilvl w:val="0"/>
          <w:numId w:val="6"/>
        </w:numPr>
        <w:tabs>
          <w:tab w:val="left" w:pos="2598"/>
        </w:tabs>
        <w:spacing w:before="100" w:beforeAutospacing="1" w:after="100" w:afterAutospacing="1" w:line="420" w:lineRule="atLeast"/>
        <w:rPr>
          <w:rFonts w:ascii="Arial" w:eastAsia="Times New Roman" w:hAnsi="Arial" w:cs="Arial"/>
          <w:b/>
          <w:color w:val="000000"/>
          <w:sz w:val="21"/>
          <w:szCs w:val="21"/>
        </w:rPr>
      </w:pPr>
      <w:r w:rsidRPr="0029647F">
        <w:rPr>
          <w:rFonts w:ascii="Arial" w:eastAsia="Times New Roman" w:hAnsi="Arial" w:cs="Arial"/>
          <w:color w:val="000000"/>
          <w:sz w:val="21"/>
          <w:szCs w:val="21"/>
        </w:rPr>
        <w:t>Spot films for duodenalloop</w:t>
      </w:r>
      <w:r>
        <w:rPr>
          <w:rFonts w:ascii="Arial" w:eastAsia="Times New Roman" w:hAnsi="Arial" w:cs="Arial"/>
          <w:color w:val="000000"/>
          <w:sz w:val="21"/>
          <w:szCs w:val="21"/>
        </w:rPr>
        <w:t>.</w:t>
      </w:r>
    </w:p>
    <w:p w14:paraId="60063CEC" w14:textId="77777777" w:rsidR="00630A83" w:rsidRPr="00630A83" w:rsidRDefault="00630A83" w:rsidP="00630A83">
      <w:pPr>
        <w:pStyle w:val="ListParagraph"/>
        <w:numPr>
          <w:ilvl w:val="0"/>
          <w:numId w:val="6"/>
        </w:numPr>
        <w:tabs>
          <w:tab w:val="left" w:pos="2598"/>
        </w:tabs>
        <w:spacing w:before="100" w:beforeAutospacing="1" w:after="100" w:afterAutospacing="1" w:line="420" w:lineRule="atLeast"/>
        <w:rPr>
          <w:rFonts w:ascii="Arial" w:eastAsia="Times New Roman" w:hAnsi="Arial" w:cs="Arial"/>
          <w:b/>
          <w:color w:val="000000"/>
          <w:sz w:val="21"/>
          <w:szCs w:val="21"/>
        </w:rPr>
      </w:pPr>
      <w:r w:rsidRPr="0029647F">
        <w:rPr>
          <w:rFonts w:ascii="Arial" w:eastAsia="Times New Roman" w:hAnsi="Arial" w:cs="Arial"/>
          <w:color w:val="000000"/>
          <w:sz w:val="21"/>
          <w:szCs w:val="21"/>
        </w:rPr>
        <w:t>Spot film of the abdomen with the patient in prone position</w:t>
      </w:r>
      <w:r>
        <w:rPr>
          <w:rFonts w:ascii="Arial" w:eastAsia="Times New Roman" w:hAnsi="Arial" w:cs="Arial"/>
          <w:color w:val="000000"/>
          <w:sz w:val="21"/>
          <w:szCs w:val="21"/>
        </w:rPr>
        <w:t>.</w:t>
      </w:r>
    </w:p>
    <w:p w14:paraId="6A5C1024" w14:textId="77777777" w:rsidR="00B32D2E" w:rsidRPr="00B32D2E" w:rsidRDefault="00630A83" w:rsidP="00B32D2E">
      <w:pPr>
        <w:pStyle w:val="ListParagraph"/>
        <w:numPr>
          <w:ilvl w:val="0"/>
          <w:numId w:val="6"/>
        </w:numPr>
        <w:tabs>
          <w:tab w:val="left" w:pos="2598"/>
        </w:tabs>
        <w:spacing w:before="100" w:beforeAutospacing="1" w:after="100" w:afterAutospacing="1" w:line="420" w:lineRule="atLeast"/>
        <w:rPr>
          <w:rFonts w:ascii="Arial" w:eastAsia="Times New Roman" w:hAnsi="Arial" w:cs="Arial"/>
          <w:color w:val="000000"/>
          <w:sz w:val="21"/>
          <w:szCs w:val="21"/>
        </w:rPr>
      </w:pPr>
      <w:r w:rsidRPr="00630A83">
        <w:rPr>
          <w:rFonts w:ascii="Arial" w:eastAsia="Times New Roman" w:hAnsi="Arial" w:cs="Arial"/>
          <w:color w:val="000000"/>
          <w:sz w:val="21"/>
          <w:szCs w:val="21"/>
        </w:rPr>
        <w:t>Additional view of the fundus Spotfilms of the esophagus</w:t>
      </w:r>
      <w:r>
        <w:rPr>
          <w:rFonts w:ascii="Arial" w:eastAsia="Times New Roman" w:hAnsi="Arial" w:cs="Arial"/>
          <w:color w:val="000000"/>
          <w:sz w:val="21"/>
          <w:szCs w:val="21"/>
        </w:rPr>
        <w:t>.</w:t>
      </w:r>
    </w:p>
    <w:p w14:paraId="68E42265" w14:textId="77777777" w:rsidR="00630A83" w:rsidRDefault="00630A83" w:rsidP="00630A83">
      <w:pPr>
        <w:pStyle w:val="ListParagraph"/>
        <w:numPr>
          <w:ilvl w:val="0"/>
          <w:numId w:val="6"/>
        </w:numPr>
        <w:tabs>
          <w:tab w:val="left" w:pos="2598"/>
        </w:tabs>
        <w:spacing w:before="100" w:beforeAutospacing="1" w:after="100" w:afterAutospacing="1" w:line="420" w:lineRule="atLeast"/>
        <w:rPr>
          <w:rFonts w:ascii="Arial" w:eastAsia="Times New Roman" w:hAnsi="Arial" w:cs="Arial"/>
          <w:color w:val="000000"/>
          <w:sz w:val="21"/>
          <w:szCs w:val="21"/>
        </w:rPr>
      </w:pPr>
      <w:r w:rsidRPr="00630A83">
        <w:rPr>
          <w:rFonts w:ascii="Arial" w:eastAsia="Times New Roman" w:hAnsi="Arial" w:cs="Arial"/>
          <w:color w:val="000000"/>
          <w:sz w:val="21"/>
          <w:szCs w:val="21"/>
        </w:rPr>
        <w:t xml:space="preserve">Modification technique for young children </w:t>
      </w:r>
      <w:r w:rsidRPr="00630A83">
        <w:rPr>
          <w:rFonts w:ascii="Arial" w:eastAsia="Times New Roman" w:hAnsi="Arial" w:cs="Arial"/>
          <w:color w:val="000000"/>
          <w:sz w:val="21"/>
          <w:szCs w:val="21"/>
        </w:rPr>
        <w:sym w:font="Symbol" w:char="F0D8"/>
      </w:r>
      <w:r w:rsidRPr="00630A83">
        <w:rPr>
          <w:rFonts w:ascii="Arial" w:eastAsia="Times New Roman" w:hAnsi="Arial" w:cs="Arial"/>
          <w:color w:val="000000"/>
          <w:sz w:val="21"/>
          <w:szCs w:val="21"/>
        </w:rPr>
        <w:t xml:space="preserve">Indication • Vomiting </w:t>
      </w:r>
      <w:r w:rsidRPr="00630A83">
        <w:rPr>
          <w:rFonts w:ascii="Arial" w:eastAsia="Times New Roman" w:hAnsi="Arial" w:cs="Arial"/>
          <w:color w:val="000000"/>
          <w:sz w:val="21"/>
          <w:szCs w:val="21"/>
        </w:rPr>
        <w:sym w:font="Symbol" w:char="F0D8"/>
      </w:r>
      <w:r w:rsidRPr="00630A83">
        <w:rPr>
          <w:rFonts w:ascii="Arial" w:eastAsia="Times New Roman" w:hAnsi="Arial" w:cs="Arial"/>
          <w:color w:val="000000"/>
          <w:sz w:val="21"/>
          <w:szCs w:val="21"/>
        </w:rPr>
        <w:t>Technique • Singlecontrast • 30 % barium sulphate • No paralytic agent</w:t>
      </w:r>
      <w:r>
        <w:rPr>
          <w:rFonts w:ascii="Arial" w:eastAsia="Times New Roman" w:hAnsi="Arial" w:cs="Arial"/>
          <w:color w:val="000000"/>
          <w:sz w:val="21"/>
          <w:szCs w:val="21"/>
        </w:rPr>
        <w:t>.</w:t>
      </w:r>
    </w:p>
    <w:p w14:paraId="13087D6C" w14:textId="77777777" w:rsidR="00B32D2E" w:rsidRDefault="00630A83" w:rsidP="00B32D2E">
      <w:pPr>
        <w:tabs>
          <w:tab w:val="left" w:pos="2598"/>
        </w:tabs>
        <w:spacing w:before="100" w:beforeAutospacing="1" w:after="100" w:afterAutospacing="1" w:line="420" w:lineRule="atLeast"/>
        <w:rPr>
          <w:rFonts w:ascii="Arial" w:eastAsia="Times New Roman" w:hAnsi="Arial" w:cs="Arial"/>
          <w:color w:val="000000"/>
          <w:sz w:val="21"/>
          <w:szCs w:val="21"/>
        </w:rPr>
      </w:pPr>
      <w:r w:rsidRPr="00630A83">
        <w:rPr>
          <w:rFonts w:ascii="Arial" w:eastAsia="Times New Roman" w:hAnsi="Arial" w:cs="Arial"/>
          <w:b/>
          <w:color w:val="000000"/>
          <w:sz w:val="21"/>
          <w:szCs w:val="21"/>
        </w:rPr>
        <w:t>Q: No 3: General classification contrast used in conventional radiography</w:t>
      </w:r>
      <w:r>
        <w:rPr>
          <w:rFonts w:ascii="Arial" w:eastAsia="Times New Roman" w:hAnsi="Arial" w:cs="Arial"/>
          <w:color w:val="000000"/>
          <w:sz w:val="21"/>
          <w:szCs w:val="21"/>
        </w:rPr>
        <w:t>.</w:t>
      </w:r>
    </w:p>
    <w:p w14:paraId="47C04DF5" w14:textId="77777777" w:rsidR="00630A83" w:rsidRDefault="00993E54" w:rsidP="00B32D2E">
      <w:pPr>
        <w:tabs>
          <w:tab w:val="left" w:pos="2598"/>
        </w:tabs>
        <w:spacing w:before="100" w:beforeAutospacing="1" w:after="100" w:afterAutospacing="1" w:line="420" w:lineRule="atLeast"/>
        <w:rPr>
          <w:rFonts w:ascii="Arial" w:eastAsia="Times New Roman" w:hAnsi="Arial" w:cs="Arial"/>
          <w:color w:val="000000"/>
          <w:sz w:val="21"/>
          <w:szCs w:val="21"/>
        </w:rPr>
      </w:pPr>
      <w:r w:rsidRPr="00B32D2E">
        <w:rPr>
          <w:rFonts w:ascii="Arial" w:eastAsia="Times New Roman" w:hAnsi="Arial" w:cs="Arial"/>
          <w:bCs/>
          <w:color w:val="000000" w:themeColor="text1"/>
          <w:sz w:val="29"/>
          <w:szCs w:val="29"/>
        </w:rPr>
        <w:lastRenderedPageBreak/>
        <w:t>Contrast Materials:</w:t>
      </w:r>
      <w:r w:rsidRPr="00993E54">
        <w:rPr>
          <w:rFonts w:ascii="Arial" w:eastAsia="Times New Roman" w:hAnsi="Arial" w:cs="Arial"/>
          <w:color w:val="000000"/>
          <w:sz w:val="21"/>
          <w:szCs w:val="21"/>
        </w:rPr>
        <w:t>Contrast materials, also called contrast agents or contrast media, are used to improve pictures of the inside of the body produced by x-rays, computed tomography (CT), magnetic resonance (MR) imaging, and ultrasound. Often, contrast materials allow the radiologist to distinguish normal from abnormal conditions.</w:t>
      </w:r>
    </w:p>
    <w:p w14:paraId="377B92E9" w14:textId="77777777" w:rsidR="00B32D2E" w:rsidRPr="00B32D2E" w:rsidRDefault="00B32D2E" w:rsidP="00B32D2E">
      <w:pPr>
        <w:shd w:val="clear" w:color="auto" w:fill="FFFFFF"/>
        <w:spacing w:before="280" w:after="120" w:line="240" w:lineRule="auto"/>
        <w:outlineLvl w:val="5"/>
        <w:rPr>
          <w:rFonts w:ascii="Arial" w:eastAsia="Times New Roman" w:hAnsi="Arial" w:cs="Arial"/>
          <w:b/>
          <w:bCs/>
          <w:color w:val="000000" w:themeColor="text1"/>
          <w:sz w:val="29"/>
          <w:szCs w:val="29"/>
        </w:rPr>
      </w:pPr>
      <w:r w:rsidRPr="00B32D2E">
        <w:rPr>
          <w:rFonts w:ascii="Arial" w:eastAsia="Times New Roman" w:hAnsi="Arial" w:cs="Arial"/>
          <w:b/>
          <w:bCs/>
          <w:color w:val="000000" w:themeColor="text1"/>
          <w:sz w:val="29"/>
          <w:szCs w:val="29"/>
        </w:rPr>
        <w:t>High osmolality contrast media</w:t>
      </w:r>
    </w:p>
    <w:p w14:paraId="1ABFC57F" w14:textId="77777777" w:rsidR="00B32D2E" w:rsidRPr="00B32D2E" w:rsidRDefault="00B32D2E" w:rsidP="00B32D2E">
      <w:pPr>
        <w:pStyle w:val="ListParagraph"/>
        <w:numPr>
          <w:ilvl w:val="0"/>
          <w:numId w:val="6"/>
        </w:numPr>
        <w:tabs>
          <w:tab w:val="left" w:pos="2598"/>
        </w:tabs>
        <w:spacing w:before="100" w:beforeAutospacing="1" w:after="100" w:afterAutospacing="1" w:line="420" w:lineRule="atLeast"/>
        <w:rPr>
          <w:rFonts w:ascii="Arial" w:eastAsia="Times New Roman" w:hAnsi="Arial" w:cs="Arial"/>
          <w:color w:val="000000"/>
          <w:sz w:val="21"/>
          <w:szCs w:val="21"/>
        </w:rPr>
      </w:pPr>
      <w:r w:rsidRPr="00B32D2E">
        <w:rPr>
          <w:rFonts w:ascii="Arial" w:eastAsia="Times New Roman" w:hAnsi="Arial" w:cs="Arial"/>
          <w:color w:val="000000"/>
          <w:sz w:val="21"/>
          <w:szCs w:val="21"/>
        </w:rPr>
        <w:t>High osmolality contrast media (HOCM) are approximately five to eight times the osmolality of serum. In general, HOCM are ionic compounds that include a benzene ring with three iodine atoms and a side chain containing a carboxylic acid (-COOH) group. As the first generation of iodinated contrast agents, HOCM were associated with high rates of adverse events and fell out of favor in the 1990s for intravascular and intrathecal purposes. HOCM remain used for gastrointestinal and cyst urethral administration, including the following agents:</w:t>
      </w:r>
    </w:p>
    <w:p w14:paraId="4A084C3D" w14:textId="77777777" w:rsidR="00B32D2E" w:rsidRPr="00B32D2E" w:rsidRDefault="00212ABE" w:rsidP="00B32D2E">
      <w:pPr>
        <w:pStyle w:val="ListParagraph"/>
        <w:numPr>
          <w:ilvl w:val="0"/>
          <w:numId w:val="6"/>
        </w:numPr>
        <w:tabs>
          <w:tab w:val="left" w:pos="2598"/>
        </w:tabs>
        <w:spacing w:before="100" w:beforeAutospacing="1" w:after="100" w:afterAutospacing="1" w:line="420" w:lineRule="atLeast"/>
        <w:rPr>
          <w:rFonts w:ascii="Arial" w:eastAsia="Times New Roman" w:hAnsi="Arial" w:cs="Arial"/>
          <w:color w:val="000000"/>
          <w:sz w:val="21"/>
          <w:szCs w:val="21"/>
        </w:rPr>
      </w:pPr>
      <w:hyperlink r:id="rId10" w:history="1">
        <w:r w:rsidR="00B32D2E" w:rsidRPr="00B32D2E">
          <w:rPr>
            <w:rFonts w:ascii="Arial" w:eastAsia="Times New Roman" w:hAnsi="Arial" w:cs="Arial"/>
            <w:color w:val="000000"/>
            <w:sz w:val="21"/>
            <w:szCs w:val="21"/>
          </w:rPr>
          <w:t>diatrizoate</w:t>
        </w:r>
      </w:hyperlink>
      <w:r w:rsidR="00B32D2E" w:rsidRPr="00B32D2E">
        <w:rPr>
          <w:rFonts w:ascii="Arial" w:eastAsia="Times New Roman" w:hAnsi="Arial" w:cs="Arial"/>
          <w:color w:val="000000"/>
          <w:sz w:val="21"/>
          <w:szCs w:val="21"/>
        </w:rPr>
        <w:t> sodium/melamine (Gastrografin, MD-Gastro view, Cystografin)</w:t>
      </w:r>
    </w:p>
    <w:p w14:paraId="3B61955B" w14:textId="77777777" w:rsidR="00B32D2E" w:rsidRDefault="00B32D2E" w:rsidP="00B32D2E">
      <w:pPr>
        <w:pStyle w:val="ListParagraph"/>
        <w:numPr>
          <w:ilvl w:val="0"/>
          <w:numId w:val="6"/>
        </w:numPr>
        <w:tabs>
          <w:tab w:val="left" w:pos="2598"/>
        </w:tabs>
        <w:spacing w:before="100" w:beforeAutospacing="1" w:after="100" w:afterAutospacing="1" w:line="420" w:lineRule="atLeast"/>
        <w:rPr>
          <w:rFonts w:ascii="Arial" w:eastAsia="Times New Roman" w:hAnsi="Arial" w:cs="Arial"/>
          <w:color w:val="000000"/>
          <w:sz w:val="21"/>
          <w:szCs w:val="21"/>
        </w:rPr>
      </w:pPr>
      <w:r w:rsidRPr="00B32D2E">
        <w:rPr>
          <w:rFonts w:ascii="Arial" w:eastAsia="Times New Roman" w:hAnsi="Arial" w:cs="Arial"/>
          <w:color w:val="000000"/>
          <w:sz w:val="21"/>
          <w:szCs w:val="21"/>
        </w:rPr>
        <w:t>iothalamate sodium/meglumine (Conray, Cysto-Conray)</w:t>
      </w:r>
    </w:p>
    <w:p w14:paraId="29AB8BB1" w14:textId="77777777" w:rsidR="00B32D2E" w:rsidRPr="00B32D2E" w:rsidRDefault="00B32D2E" w:rsidP="00B32D2E">
      <w:pPr>
        <w:pStyle w:val="Heading6"/>
        <w:shd w:val="clear" w:color="auto" w:fill="FFFFFF"/>
        <w:spacing w:before="280" w:beforeAutospacing="0" w:after="120" w:afterAutospacing="0"/>
        <w:rPr>
          <w:rFonts w:ascii="Arial" w:hAnsi="Arial" w:cs="Arial"/>
          <w:color w:val="000000" w:themeColor="text1"/>
          <w:sz w:val="29"/>
          <w:szCs w:val="29"/>
        </w:rPr>
      </w:pPr>
      <w:r w:rsidRPr="00B32D2E">
        <w:rPr>
          <w:rFonts w:ascii="Arial" w:hAnsi="Arial" w:cs="Arial"/>
          <w:color w:val="000000" w:themeColor="text1"/>
          <w:sz w:val="29"/>
          <w:szCs w:val="29"/>
        </w:rPr>
        <w:t>Low osmolality contrast media</w:t>
      </w:r>
    </w:p>
    <w:p w14:paraId="351AD1A7" w14:textId="77777777" w:rsidR="00B32D2E" w:rsidRPr="00B32D2E" w:rsidRDefault="00B32D2E" w:rsidP="00B32D2E">
      <w:pPr>
        <w:pStyle w:val="NormalWeb"/>
        <w:shd w:val="clear" w:color="auto" w:fill="FFFFFF"/>
        <w:spacing w:before="0" w:beforeAutospacing="0" w:after="280" w:afterAutospacing="0"/>
        <w:rPr>
          <w:rFonts w:ascii="Arial" w:hAnsi="Arial" w:cs="Arial"/>
          <w:color w:val="000000"/>
          <w:sz w:val="21"/>
          <w:szCs w:val="21"/>
        </w:rPr>
      </w:pPr>
      <w:r w:rsidRPr="00B32D2E">
        <w:rPr>
          <w:rFonts w:ascii="Arial" w:hAnsi="Arial" w:cs="Arial"/>
          <w:color w:val="000000"/>
          <w:sz w:val="21"/>
          <w:szCs w:val="21"/>
        </w:rPr>
        <w:t>Low osmolality contrast media (LOCM) are less than three times the osmolality of human serum and preferred for intravascular and intrathecal administration. Modern LOCM are generally, but not always, nonionic monomers composed of tri-iodinated benzene rings with various side chains that contain polar alcohol (-OH) groups that make them water-soluble 3. LOCM in current use include the following:</w:t>
      </w:r>
    </w:p>
    <w:p w14:paraId="60E9D107" w14:textId="77777777" w:rsidR="00B32D2E" w:rsidRPr="00B32D2E" w:rsidRDefault="00B32D2E" w:rsidP="00B32D2E">
      <w:pPr>
        <w:numPr>
          <w:ilvl w:val="0"/>
          <w:numId w:val="9"/>
        </w:numPr>
        <w:shd w:val="clear" w:color="auto" w:fill="FFFFFF"/>
        <w:spacing w:before="60" w:after="90" w:line="240" w:lineRule="auto"/>
        <w:ind w:left="300"/>
        <w:rPr>
          <w:rFonts w:ascii="Arial" w:eastAsia="Times New Roman" w:hAnsi="Arial" w:cs="Arial"/>
          <w:color w:val="000000"/>
          <w:sz w:val="21"/>
          <w:szCs w:val="21"/>
        </w:rPr>
      </w:pPr>
      <w:r w:rsidRPr="00B32D2E">
        <w:rPr>
          <w:rFonts w:ascii="Arial" w:eastAsia="Times New Roman" w:hAnsi="Arial" w:cs="Arial"/>
          <w:color w:val="000000"/>
          <w:sz w:val="21"/>
          <w:szCs w:val="21"/>
        </w:rPr>
        <w:t>iopamidol (Isovue)</w:t>
      </w:r>
    </w:p>
    <w:p w14:paraId="0504DFD3" w14:textId="77777777" w:rsidR="00B32D2E" w:rsidRPr="00B32D2E" w:rsidRDefault="00B32D2E" w:rsidP="00B32D2E">
      <w:pPr>
        <w:numPr>
          <w:ilvl w:val="0"/>
          <w:numId w:val="9"/>
        </w:numPr>
        <w:shd w:val="clear" w:color="auto" w:fill="FFFFFF"/>
        <w:spacing w:before="60" w:after="90" w:line="240" w:lineRule="auto"/>
        <w:ind w:left="300"/>
        <w:rPr>
          <w:rFonts w:ascii="Arial" w:eastAsia="Times New Roman" w:hAnsi="Arial" w:cs="Arial"/>
          <w:color w:val="000000"/>
          <w:sz w:val="21"/>
          <w:szCs w:val="21"/>
        </w:rPr>
      </w:pPr>
      <w:r w:rsidRPr="00B32D2E">
        <w:rPr>
          <w:rFonts w:ascii="Arial" w:eastAsia="Times New Roman" w:hAnsi="Arial" w:cs="Arial"/>
          <w:color w:val="000000"/>
          <w:sz w:val="21"/>
          <w:szCs w:val="21"/>
        </w:rPr>
        <w:t>iohexol (Omnipaque)</w:t>
      </w:r>
    </w:p>
    <w:p w14:paraId="270B52CF" w14:textId="77777777" w:rsidR="00B32D2E" w:rsidRPr="00B32D2E" w:rsidRDefault="00B32D2E" w:rsidP="00B32D2E">
      <w:pPr>
        <w:numPr>
          <w:ilvl w:val="0"/>
          <w:numId w:val="9"/>
        </w:numPr>
        <w:shd w:val="clear" w:color="auto" w:fill="FFFFFF"/>
        <w:spacing w:before="60" w:after="90" w:line="240" w:lineRule="auto"/>
        <w:ind w:left="300"/>
        <w:rPr>
          <w:rFonts w:ascii="Arial" w:eastAsia="Times New Roman" w:hAnsi="Arial" w:cs="Arial"/>
          <w:color w:val="000000"/>
          <w:sz w:val="21"/>
          <w:szCs w:val="21"/>
        </w:rPr>
      </w:pPr>
      <w:r w:rsidRPr="00B32D2E">
        <w:rPr>
          <w:rFonts w:ascii="Arial" w:eastAsia="Times New Roman" w:hAnsi="Arial" w:cs="Arial"/>
          <w:color w:val="000000"/>
          <w:sz w:val="21"/>
          <w:szCs w:val="21"/>
        </w:rPr>
        <w:t>iopromide (Ultravist)</w:t>
      </w:r>
    </w:p>
    <w:p w14:paraId="787488AB" w14:textId="77777777" w:rsidR="00B32D2E" w:rsidRPr="00B32D2E" w:rsidRDefault="00B32D2E" w:rsidP="00B32D2E">
      <w:pPr>
        <w:numPr>
          <w:ilvl w:val="0"/>
          <w:numId w:val="9"/>
        </w:numPr>
        <w:shd w:val="clear" w:color="auto" w:fill="FFFFFF"/>
        <w:spacing w:before="60" w:after="90" w:line="240" w:lineRule="auto"/>
        <w:ind w:left="300"/>
        <w:rPr>
          <w:rFonts w:ascii="Arial" w:eastAsia="Times New Roman" w:hAnsi="Arial" w:cs="Arial"/>
          <w:color w:val="000000"/>
          <w:sz w:val="21"/>
          <w:szCs w:val="21"/>
        </w:rPr>
      </w:pPr>
      <w:r w:rsidRPr="00B32D2E">
        <w:rPr>
          <w:rFonts w:ascii="Arial" w:eastAsia="Times New Roman" w:hAnsi="Arial" w:cs="Arial"/>
          <w:color w:val="000000"/>
          <w:sz w:val="21"/>
          <w:szCs w:val="21"/>
        </w:rPr>
        <w:t>ioversol (Optiray)</w:t>
      </w:r>
    </w:p>
    <w:p w14:paraId="29ABEE2D" w14:textId="77777777" w:rsidR="00B32D2E" w:rsidRPr="00B32D2E" w:rsidRDefault="00B32D2E" w:rsidP="00B32D2E">
      <w:pPr>
        <w:numPr>
          <w:ilvl w:val="0"/>
          <w:numId w:val="9"/>
        </w:numPr>
        <w:shd w:val="clear" w:color="auto" w:fill="FFFFFF"/>
        <w:spacing w:before="60" w:after="90" w:line="240" w:lineRule="auto"/>
        <w:ind w:left="300"/>
        <w:rPr>
          <w:rFonts w:ascii="Arial" w:eastAsia="Times New Roman" w:hAnsi="Arial" w:cs="Arial"/>
          <w:color w:val="000000"/>
          <w:sz w:val="21"/>
          <w:szCs w:val="21"/>
        </w:rPr>
      </w:pPr>
      <w:r w:rsidRPr="00B32D2E">
        <w:rPr>
          <w:rFonts w:ascii="Arial" w:eastAsia="Times New Roman" w:hAnsi="Arial" w:cs="Arial"/>
          <w:color w:val="000000"/>
          <w:sz w:val="21"/>
          <w:szCs w:val="21"/>
        </w:rPr>
        <w:t>ioxilan (Oxilan)</w:t>
      </w:r>
    </w:p>
    <w:p w14:paraId="43DCF71C" w14:textId="77777777" w:rsidR="00B32D2E" w:rsidRPr="00B32D2E" w:rsidRDefault="00B32D2E" w:rsidP="00B32D2E">
      <w:pPr>
        <w:pStyle w:val="NormalWeb"/>
        <w:shd w:val="clear" w:color="auto" w:fill="FFFFFF"/>
        <w:spacing w:before="0" w:beforeAutospacing="0" w:after="280" w:afterAutospacing="0"/>
        <w:rPr>
          <w:rFonts w:ascii="Arial" w:hAnsi="Arial" w:cs="Arial"/>
          <w:color w:val="000000"/>
          <w:sz w:val="21"/>
          <w:szCs w:val="21"/>
        </w:rPr>
      </w:pPr>
      <w:r w:rsidRPr="00B32D2E">
        <w:rPr>
          <w:rFonts w:ascii="Arial" w:hAnsi="Arial" w:cs="Arial"/>
          <w:color w:val="000000"/>
          <w:sz w:val="21"/>
          <w:szCs w:val="21"/>
        </w:rPr>
        <w:t>The LOCM category also includes iso-osmolal contrast media (IOCM), which are approximately the same osmolality as serum. The only IOCM in current use is a non-ionic dimer, which is composed of two covalently bound tri-iodinated benzene rings:</w:t>
      </w:r>
    </w:p>
    <w:p w14:paraId="0F00C0F2" w14:textId="77777777" w:rsidR="00B32D2E" w:rsidRPr="00B32D2E" w:rsidRDefault="00B32D2E" w:rsidP="00B32D2E">
      <w:pPr>
        <w:numPr>
          <w:ilvl w:val="0"/>
          <w:numId w:val="10"/>
        </w:numPr>
        <w:shd w:val="clear" w:color="auto" w:fill="FFFFFF"/>
        <w:spacing w:before="60" w:after="90" w:line="240" w:lineRule="auto"/>
        <w:ind w:left="300"/>
        <w:rPr>
          <w:rFonts w:ascii="Arial" w:eastAsia="Times New Roman" w:hAnsi="Arial" w:cs="Arial"/>
          <w:color w:val="000000"/>
          <w:sz w:val="21"/>
          <w:szCs w:val="21"/>
        </w:rPr>
      </w:pPr>
      <w:r w:rsidRPr="00B32D2E">
        <w:rPr>
          <w:rFonts w:ascii="Arial" w:eastAsia="Times New Roman" w:hAnsi="Arial" w:cs="Arial"/>
          <w:color w:val="000000"/>
          <w:sz w:val="21"/>
          <w:szCs w:val="21"/>
        </w:rPr>
        <w:t>iodixanol (Visipaque)</w:t>
      </w:r>
    </w:p>
    <w:p w14:paraId="2AF6BA3D" w14:textId="77777777" w:rsidR="00B32D2E" w:rsidRPr="00B32D2E" w:rsidRDefault="00B32D2E" w:rsidP="00B32D2E">
      <w:pPr>
        <w:pStyle w:val="NormalWeb"/>
        <w:shd w:val="clear" w:color="auto" w:fill="FFFFFF"/>
        <w:spacing w:before="0" w:beforeAutospacing="0" w:after="280" w:afterAutospacing="0"/>
        <w:rPr>
          <w:rFonts w:ascii="Arial" w:hAnsi="Arial" w:cs="Arial"/>
          <w:color w:val="000000"/>
          <w:sz w:val="21"/>
          <w:szCs w:val="21"/>
        </w:rPr>
      </w:pPr>
      <w:r w:rsidRPr="00B32D2E">
        <w:rPr>
          <w:rFonts w:ascii="Arial" w:hAnsi="Arial" w:cs="Arial"/>
          <w:color w:val="000000"/>
          <w:sz w:val="21"/>
          <w:szCs w:val="21"/>
        </w:rPr>
        <w:t>The dimer structure of iodixanol fits a higher concentration of iodine atoms per osmole, permitting diagnostic levels of contrast opacification at less toxic osmolality.Non-ionic LOCM are available in varying concentrations ranging from 240 to 400 mg iodine/mL. Higher concentration formulations produce a greater peak of enhancement (measured in </w:t>
      </w:r>
      <w:hyperlink r:id="rId11" w:history="1">
        <w:r w:rsidRPr="00B32D2E">
          <w:rPr>
            <w:color w:val="000000"/>
            <w:sz w:val="21"/>
            <w:szCs w:val="21"/>
          </w:rPr>
          <w:t>Hounsfield units</w:t>
        </w:r>
      </w:hyperlink>
      <w:r w:rsidRPr="00B32D2E">
        <w:rPr>
          <w:rFonts w:ascii="Arial" w:hAnsi="Arial" w:cs="Arial"/>
          <w:color w:val="000000"/>
          <w:sz w:val="21"/>
          <w:szCs w:val="21"/>
        </w:rPr>
        <w:t xml:space="preserve">) but are also </w:t>
      </w:r>
      <w:r>
        <w:rPr>
          <w:rFonts w:ascii="Arial" w:hAnsi="Arial" w:cs="Arial"/>
          <w:color w:val="3D3D3D"/>
          <w:sz w:val="19"/>
          <w:szCs w:val="19"/>
        </w:rPr>
        <w:t>more viscous.</w:t>
      </w:r>
    </w:p>
    <w:p w14:paraId="56538416" w14:textId="77777777" w:rsidR="00B32D2E" w:rsidRPr="00B32D2E" w:rsidRDefault="00B32D2E" w:rsidP="00B32D2E">
      <w:pPr>
        <w:tabs>
          <w:tab w:val="left" w:pos="2598"/>
        </w:tabs>
        <w:spacing w:before="100" w:beforeAutospacing="1" w:after="100" w:afterAutospacing="1" w:line="420" w:lineRule="atLeast"/>
        <w:rPr>
          <w:rFonts w:ascii="Arial" w:eastAsia="Times New Roman" w:hAnsi="Arial" w:cs="Arial"/>
          <w:color w:val="000000"/>
          <w:sz w:val="21"/>
          <w:szCs w:val="21"/>
        </w:rPr>
      </w:pPr>
    </w:p>
    <w:p w14:paraId="5CFF163C" w14:textId="77777777" w:rsidR="00993E54" w:rsidRPr="00993E54" w:rsidRDefault="00993E54" w:rsidP="00993E54">
      <w:pPr>
        <w:rPr>
          <w:rFonts w:ascii="Arial" w:eastAsia="Times New Roman" w:hAnsi="Arial" w:cs="Arial"/>
          <w:color w:val="000000"/>
          <w:sz w:val="21"/>
          <w:szCs w:val="21"/>
        </w:rPr>
      </w:pPr>
    </w:p>
    <w:sectPr w:rsidR="00993E54" w:rsidRPr="00993E54" w:rsidSect="00C55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0C07"/>
    <w:multiLevelType w:val="multilevel"/>
    <w:tmpl w:val="47AC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6744C"/>
    <w:multiLevelType w:val="multilevel"/>
    <w:tmpl w:val="B496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B2B36"/>
    <w:multiLevelType w:val="hybridMultilevel"/>
    <w:tmpl w:val="FB40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6EC"/>
    <w:multiLevelType w:val="multilevel"/>
    <w:tmpl w:val="5B3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E0538"/>
    <w:multiLevelType w:val="multilevel"/>
    <w:tmpl w:val="DAB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B7294"/>
    <w:multiLevelType w:val="hybridMultilevel"/>
    <w:tmpl w:val="DF14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C5370"/>
    <w:multiLevelType w:val="multilevel"/>
    <w:tmpl w:val="4FE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B76EB"/>
    <w:multiLevelType w:val="hybridMultilevel"/>
    <w:tmpl w:val="AA0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602C8"/>
    <w:multiLevelType w:val="hybridMultilevel"/>
    <w:tmpl w:val="BB3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03CB6"/>
    <w:multiLevelType w:val="multilevel"/>
    <w:tmpl w:val="BEEC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9"/>
  </w:num>
  <w:num w:numId="5">
    <w:abstractNumId w:val="5"/>
  </w:num>
  <w:num w:numId="6">
    <w:abstractNumId w:val="2"/>
  </w:num>
  <w:num w:numId="7">
    <w:abstractNumId w:val="1"/>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B1"/>
    <w:rsid w:val="00120592"/>
    <w:rsid w:val="001F4870"/>
    <w:rsid w:val="00212ABE"/>
    <w:rsid w:val="0029647F"/>
    <w:rsid w:val="004F7A99"/>
    <w:rsid w:val="005C6CC1"/>
    <w:rsid w:val="00630A83"/>
    <w:rsid w:val="00993E54"/>
    <w:rsid w:val="009C53BD"/>
    <w:rsid w:val="00B32D2E"/>
    <w:rsid w:val="00BC11F7"/>
    <w:rsid w:val="00C55157"/>
    <w:rsid w:val="00D30EB1"/>
    <w:rsid w:val="00DE2190"/>
    <w:rsid w:val="00E5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1B08"/>
  <w15:docId w15:val="{F5358CCA-310A-134F-9F92-506426DC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83"/>
  </w:style>
  <w:style w:type="paragraph" w:styleId="Heading6">
    <w:name w:val="heading 6"/>
    <w:basedOn w:val="Normal"/>
    <w:link w:val="Heading6Char"/>
    <w:uiPriority w:val="9"/>
    <w:qFormat/>
    <w:rsid w:val="00B32D2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EB1"/>
    <w:rPr>
      <w:color w:val="0000FF"/>
      <w:u w:val="single"/>
    </w:rPr>
  </w:style>
  <w:style w:type="paragraph" w:styleId="ListParagraph">
    <w:name w:val="List Paragraph"/>
    <w:basedOn w:val="Normal"/>
    <w:uiPriority w:val="34"/>
    <w:qFormat/>
    <w:rsid w:val="00D30EB1"/>
    <w:pPr>
      <w:ind w:left="720"/>
      <w:contextualSpacing/>
    </w:pPr>
  </w:style>
  <w:style w:type="character" w:customStyle="1" w:styleId="Heading6Char">
    <w:name w:val="Heading 6 Char"/>
    <w:basedOn w:val="DefaultParagraphFont"/>
    <w:link w:val="Heading6"/>
    <w:uiPriority w:val="9"/>
    <w:rsid w:val="00B32D2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32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0045">
      <w:bodyDiv w:val="1"/>
      <w:marLeft w:val="0"/>
      <w:marRight w:val="0"/>
      <w:marTop w:val="0"/>
      <w:marBottom w:val="0"/>
      <w:divBdr>
        <w:top w:val="none" w:sz="0" w:space="0" w:color="auto"/>
        <w:left w:val="none" w:sz="0" w:space="0" w:color="auto"/>
        <w:bottom w:val="none" w:sz="0" w:space="0" w:color="auto"/>
        <w:right w:val="none" w:sz="0" w:space="0" w:color="auto"/>
      </w:divBdr>
    </w:div>
    <w:div w:id="648706801">
      <w:bodyDiv w:val="1"/>
      <w:marLeft w:val="0"/>
      <w:marRight w:val="0"/>
      <w:marTop w:val="0"/>
      <w:marBottom w:val="0"/>
      <w:divBdr>
        <w:top w:val="none" w:sz="0" w:space="0" w:color="auto"/>
        <w:left w:val="none" w:sz="0" w:space="0" w:color="auto"/>
        <w:bottom w:val="none" w:sz="0" w:space="0" w:color="auto"/>
        <w:right w:val="none" w:sz="0" w:space="0" w:color="auto"/>
      </w:divBdr>
    </w:div>
    <w:div w:id="693271539">
      <w:bodyDiv w:val="1"/>
      <w:marLeft w:val="0"/>
      <w:marRight w:val="0"/>
      <w:marTop w:val="0"/>
      <w:marBottom w:val="0"/>
      <w:divBdr>
        <w:top w:val="none" w:sz="0" w:space="0" w:color="auto"/>
        <w:left w:val="none" w:sz="0" w:space="0" w:color="auto"/>
        <w:bottom w:val="none" w:sz="0" w:space="0" w:color="auto"/>
        <w:right w:val="none" w:sz="0" w:space="0" w:color="auto"/>
      </w:divBdr>
    </w:div>
    <w:div w:id="864710964">
      <w:bodyDiv w:val="1"/>
      <w:marLeft w:val="0"/>
      <w:marRight w:val="0"/>
      <w:marTop w:val="0"/>
      <w:marBottom w:val="0"/>
      <w:divBdr>
        <w:top w:val="none" w:sz="0" w:space="0" w:color="auto"/>
        <w:left w:val="none" w:sz="0" w:space="0" w:color="auto"/>
        <w:bottom w:val="none" w:sz="0" w:space="0" w:color="auto"/>
        <w:right w:val="none" w:sz="0" w:space="0" w:color="auto"/>
      </w:divBdr>
    </w:div>
    <w:div w:id="21131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dicinehealth.com/image-gallery/lungs_picture/images.ht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emedicinehealth.com/image-gallery/dentures_picture/images.ht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emedicinehealth.com/breast/article_em.htm" TargetMode="External" /><Relationship Id="rId11" Type="http://schemas.openxmlformats.org/officeDocument/2006/relationships/hyperlink" Target="https://radiopaedia.org/articles/hounsfield-unit?lang=us" TargetMode="External" /><Relationship Id="rId5" Type="http://schemas.openxmlformats.org/officeDocument/2006/relationships/hyperlink" Target="https://www.emedicinehealth.com/diet_and_nutrition_quiz_iq/quiz.htm" TargetMode="External" /><Relationship Id="rId10" Type="http://schemas.openxmlformats.org/officeDocument/2006/relationships/hyperlink" Target="https://radiopaedia.org/articles/missing?article%5Btitle%5D=diatrizoate&amp;lang=us" TargetMode="External" /><Relationship Id="rId4" Type="http://schemas.openxmlformats.org/officeDocument/2006/relationships/webSettings" Target="webSettings.xml" /><Relationship Id="rId9" Type="http://schemas.openxmlformats.org/officeDocument/2006/relationships/hyperlink" Target="https://image.slidesharecdn.com/mygastroppt-160525054545/95/learn-barium-meal-follow-through-21-638.jpg?cb=147212695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Rafiq Ahmad | CT Scan Technician</dc:creator>
  <cp:keywords/>
  <dc:description/>
  <cp:lastModifiedBy>hajiraktk02@gmail.com</cp:lastModifiedBy>
  <cp:revision>2</cp:revision>
  <dcterms:created xsi:type="dcterms:W3CDTF">2020-04-16T06:33:00Z</dcterms:created>
  <dcterms:modified xsi:type="dcterms:W3CDTF">2020-04-16T06:33:00Z</dcterms:modified>
</cp:coreProperties>
</file>