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02122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02122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NAME                AHMAD NABI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ASSIGNMNT:                      D Morpho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ID NO:                                     15103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SUBMITTED TO:               DR Salma  Ishaq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DICIPLINE :                             BS DT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DEPARTMENT :                      AHS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SEMISTER:                                 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8"/>
          <w:shd w:fill="FFFF00" w:val="clear"/>
        </w:rPr>
        <w:t xml:space="preserve">Characteristic of primry teeth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Smaller in size than Permenant teeth.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There are typically 20 primary teeth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 10 upper and 10 lower. Commonly, most of them erupt by the time the child is about 2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½ years old.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The deciduous teeth start falling out around age 6 to be replaced by 32 permanent adult teeth.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They are whiter in colour than the analogous PT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Less Mineralized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Shorter crown with respect to their roots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Crown have marked constriction at the cervix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enamel seems to bulge close  to the cervical line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layer of enamel and dentin arev thinner than on PT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Pulp cavity are proportionally larger</w:t>
      </w:r>
    </w:p>
    <w:p>
      <w:pPr>
        <w:numPr>
          <w:ilvl w:val="0"/>
          <w:numId w:val="5"/>
        </w:numPr>
        <w:spacing w:before="0" w:after="0" w:line="244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PT exhibit fewer anomalies</w:t>
      </w:r>
    </w:p>
    <w:p>
      <w:pPr>
        <w:spacing w:before="0" w:after="0" w:line="244"/>
        <w:ind w:right="0" w:left="72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FFFF00" w:val="clear"/>
        </w:rPr>
        <w:t xml:space="preserve">How are deciduous teeth different from adult teeth?</w:t>
      </w:r>
    </w:p>
    <w:p>
      <w:pPr>
        <w:spacing w:before="277" w:after="277" w:line="288"/>
        <w:ind w:right="0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The differences between primary teeth and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adult teeth</w:t>
        </w:r>
      </w:hyperlink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 include: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89" w:line="288"/>
        <w:ind w:right="0" w:left="720" w:hanging="36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Enamel. 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Enamel is the hard outer surface that protects your teeth from decay. It’s usually thinner on primary teeth.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89" w:line="288"/>
        <w:ind w:right="0" w:left="720" w:hanging="36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Color. 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Deciduous teeth often look whiter. This can be attributed to thinner enamel.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89" w:line="288"/>
        <w:ind w:right="0" w:left="720" w:hanging="36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Size. 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Primary teeth are typically smaller than permanent adult teeth.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89" w:line="288"/>
        <w:ind w:right="0" w:left="720" w:hanging="36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Shape. 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Front permanent teeth often come in with bumps that tend to wear off over time.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89" w:line="288"/>
        <w:ind w:right="0" w:left="720" w:hanging="360"/>
        <w:jc w:val="left"/>
        <w:rPr>
          <w:rFonts w:ascii="Arial" w:hAnsi="Arial" w:cs="Arial" w:eastAsia="Arial"/>
          <w:color w:val="231F2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8"/>
          <w:shd w:fill="auto" w:val="clear"/>
        </w:rPr>
        <w:t xml:space="preserve">Roots.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 Roots of baby teeth are shorter and thinner because they’re designed to fall out</w:t>
      </w:r>
      <w:r>
        <w:rPr>
          <w:rFonts w:ascii="Arial" w:hAnsi="Arial" w:cs="Arial" w:eastAsia="Arial"/>
          <w:color w:val="231F2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00" w:val="clear"/>
        </w:rPr>
        <w:t xml:space="preserve">Deciduous teeth</w:t>
      </w:r>
    </w:p>
    <w:p>
      <w:pPr>
        <w:spacing w:before="0" w:after="0" w:line="244"/>
        <w:ind w:right="0" w:left="0" w:firstLine="0"/>
        <w:jc w:val="left"/>
        <w:rPr>
          <w:rFonts w:ascii="Arial" w:hAnsi="Arial" w:cs="Arial" w:eastAsia="Arial"/>
          <w:b/>
          <w:color w:val="0092D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92DF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These are the first teeth to erupt into the oral cavity. 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The primary dentition is comprised of 20 teeth.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8"/>
          <w:shd w:fill="auto" w:val="clear"/>
        </w:rPr>
        <w:t xml:space="preserve">The deciduous teeth start falling out around age 6 to be replaced by 32 permanent adult teeth.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Often these teeth are referred to as deciduous teeth.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These teeth will be exfoliated (lost) as the permanent teeth erupt.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In each arch of the mouth, there are two central incisors, two lateral incisors, two canines, and four molars. 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The teeth are usually recognized by a letter of the alphabet beginning with “A” (Maxillary right second molar) and ending with “T” (Mandibular right second molar). </w:t>
      </w:r>
    </w:p>
    <w:p>
      <w:pPr>
        <w:numPr>
          <w:ilvl w:val="0"/>
          <w:numId w:val="11"/>
        </w:numPr>
        <w:spacing w:before="0" w:after="177" w:line="240"/>
        <w:ind w:right="0" w:left="775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There are no premolars or third molars in the primary dentition</w:t>
      </w:r>
    </w:p>
    <w:p>
      <w:pPr>
        <w:numPr>
          <w:ilvl w:val="0"/>
          <w:numId w:val="11"/>
        </w:numPr>
        <w:spacing w:before="0" w:after="200" w:line="276"/>
        <w:ind w:right="0" w:left="7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commonly known as baby teeth, milk teeth, temporary teeth,</w:t>
      </w:r>
    </w:p>
    <w:p>
      <w:pPr>
        <w:numPr>
          <w:ilvl w:val="0"/>
          <w:numId w:val="11"/>
        </w:numPr>
        <w:spacing w:before="0" w:after="200" w:line="276"/>
        <w:ind w:right="0" w:left="7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And primary teeth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are the first set of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teeth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in the growth development of humans and other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diphyodont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mammals.</w:t>
      </w:r>
    </w:p>
    <w:p>
      <w:pPr>
        <w:numPr>
          <w:ilvl w:val="0"/>
          <w:numId w:val="11"/>
        </w:numPr>
        <w:spacing w:before="0" w:after="200" w:line="276"/>
        <w:ind w:right="0" w:left="7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They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develop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during the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embryonic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stage of development and erupt (that is, they become visible in the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mouth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during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infancy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numPr>
          <w:ilvl w:val="0"/>
          <w:numId w:val="11"/>
        </w:numPr>
        <w:spacing w:before="0" w:after="200" w:line="276"/>
        <w:ind w:right="0" w:left="7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They are usually lost and replaced by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permanent teeth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</w:t>
      </w:r>
    </w:p>
    <w:p>
      <w:pPr>
        <w:numPr>
          <w:ilvl w:val="0"/>
          <w:numId w:val="11"/>
        </w:numPr>
        <w:spacing w:before="0" w:after="200" w:line="276"/>
        <w:ind w:right="0" w:left="7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But in the absence of permanent replacements, they can remain functional  for many years</w:t>
      </w:r>
      <w:r>
        <w:rPr>
          <w:rFonts w:ascii="Arial" w:hAnsi="Arial" w:cs="Arial" w:eastAsia="Arial"/>
          <w:color w:val="202122"/>
          <w:spacing w:val="0"/>
          <w:position w:val="0"/>
          <w:sz w:val="16"/>
          <w:shd w:fill="FFFFFF" w:val="clear"/>
        </w:rPr>
        <w:t xml:space="preserve">.</w:t>
      </w:r>
    </w:p>
    <w:p>
      <w:pPr>
        <w:numPr>
          <w:ilvl w:val="0"/>
          <w:numId w:val="11"/>
        </w:numPr>
        <w:spacing w:before="0" w:after="200" w:line="276"/>
        <w:ind w:right="0" w:left="7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1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Primary Dentition.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1025"/>
        <w:gridCol w:w="1156"/>
        <w:gridCol w:w="1356"/>
      </w:tblGrid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0092d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Tooth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0092d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Eruption Date</w:t>
              <w:br/>
              <w:t xml:space="preserve">(Avg.)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0092d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Exfoliation Date</w:t>
              <w:br/>
              <w:t xml:space="preserve">(Avg.)</w:t>
            </w:r>
          </w:p>
        </w:tc>
      </w:tr>
      <w:tr>
        <w:trPr>
          <w:trHeight w:val="1" w:hRule="atLeast"/>
          <w:jc w:val="left"/>
        </w:trPr>
        <w:tc>
          <w:tcPr>
            <w:tcW w:w="3537" w:type="dxa"/>
            <w:gridSpan w:val="3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Maxillary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Central Incisor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8-12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6-7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Lateral Incisor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9-13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Canine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16-22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10-12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1st Molar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13-19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2nd Molar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25-33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10-12 Years</w:t>
            </w:r>
          </w:p>
        </w:tc>
      </w:tr>
      <w:tr>
        <w:trPr>
          <w:trHeight w:val="1" w:hRule="atLeast"/>
          <w:jc w:val="left"/>
        </w:trPr>
        <w:tc>
          <w:tcPr>
            <w:tcW w:w="3537" w:type="dxa"/>
            <w:gridSpan w:val="3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37" w:type="dxa"/>
            <w:gridSpan w:val="3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Mandibular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Central Incisor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6-10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6-7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Lateral Incisor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10-16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Canine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17-23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9-12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1st Molar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14-18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dcf2fd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 Years</w:t>
            </w:r>
          </w:p>
        </w:tc>
      </w:tr>
      <w:tr>
        <w:trPr>
          <w:trHeight w:val="1" w:hRule="atLeast"/>
          <w:jc w:val="left"/>
        </w:trPr>
        <w:tc>
          <w:tcPr>
            <w:tcW w:w="1025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2nd Molar</w:t>
            </w:r>
          </w:p>
        </w:tc>
        <w:tc>
          <w:tcPr>
            <w:tcW w:w="11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22-31 Months</w:t>
            </w:r>
          </w:p>
        </w:tc>
        <w:tc>
          <w:tcPr>
            <w:tcW w:w="1356" w:type="dxa"/>
            <w:tcBorders>
              <w:top w:val="single" w:color="5aafdc" w:sz="4"/>
              <w:left w:val="single" w:color="5aafdc" w:sz="4"/>
              <w:bottom w:val="single" w:color="5aafdc" w:sz="4"/>
              <w:right w:val="single" w:color="5aafdc" w:sz="4"/>
            </w:tcBorders>
            <w:shd w:color="auto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spacing w:before="0" w:after="111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10-12 Years</w:t>
            </w:r>
          </w:p>
        </w:tc>
      </w:tr>
    </w:tbl>
    <w:p>
      <w:pPr>
        <w:spacing w:before="0" w:after="200" w:line="276"/>
        <w:ind w:right="0" w:left="7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Development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  <w:t xml:space="preserve">Formation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Primary teeth start to form during the embryo phase of 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human life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The development of primary teeth starts at the sixth week of tooth development as the 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dental lamina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This process starts at the midline and then spreads back into the posterior region.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By the time the embryo is eight weeks old, there are ten buds on the upper and lower arches that will eventually become the primary (deciduous) dentition. 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These teeth will continue to form until they 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erupt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in the mouth.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In the primary dentition, there are a total of twenty teeth: five per quadrant and ten per arch. 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The eruption of these teeth ("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teething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") begins at the age of six months and continues until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33 months of age during the primary dentition period.</w:t>
      </w:r>
    </w:p>
    <w:p>
      <w:pPr>
        <w:numPr>
          <w:ilvl w:val="0"/>
          <w:numId w:val="69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Usually, the first teeth seen in the mouth are the mandibular centrals and the last are the 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FFFF00" w:val="clear"/>
          </w:rPr>
          <w:t xml:space="preserve">maxillary</w:t>
        </w:r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shd w:fill="FFFF00" w:val="clear"/>
          </w:rPr>
          <w:t xml:space="preserve"> HYPERLINK "https://en.wikipedia.org/wiki/Maxillary_second_molar"</w:t>
        </w:r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FFFF00" w:val="clear"/>
          </w:rPr>
          <w:t xml:space="preserve"> second molars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  <w:t xml:space="preserve">.</w:t>
      </w:r>
    </w:p>
    <w:p>
      <w:pPr>
        <w:numPr>
          <w:ilvl w:val="0"/>
          <w:numId w:val="71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The primary teeth are made up of 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central incisors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 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lateral incisors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 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canines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first 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molars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and 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secondary molars</w:t>
        </w:r>
      </w:hyperlink>
    </w:p>
    <w:p>
      <w:pPr>
        <w:numPr>
          <w:ilvl w:val="0"/>
          <w:numId w:val="71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There is one in each quadrant, making a total of four of each tooth.</w:t>
      </w:r>
    </w:p>
    <w:p>
      <w:pPr>
        <w:numPr>
          <w:ilvl w:val="0"/>
          <w:numId w:val="71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All of these are gradually replaced with a permanent counterpart except for the primary first and second molars; they are replaced by 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premolars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Teething age of primary teeth:</w:t>
      </w:r>
    </w:p>
    <w:p>
      <w:pPr>
        <w:numPr>
          <w:ilvl w:val="0"/>
          <w:numId w:val="73"/>
        </w:numPr>
        <w:spacing w:before="100" w:after="24" w:line="240"/>
        <w:ind w:right="0" w:left="7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Central 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incisors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12 months</w:t>
      </w:r>
    </w:p>
    <w:p>
      <w:pPr>
        <w:numPr>
          <w:ilvl w:val="0"/>
          <w:numId w:val="73"/>
        </w:numPr>
        <w:spacing w:before="100" w:after="24" w:line="240"/>
        <w:ind w:right="0" w:left="7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Lateral 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incisors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16 months</w:t>
      </w:r>
    </w:p>
    <w:p>
      <w:pPr>
        <w:numPr>
          <w:ilvl w:val="0"/>
          <w:numId w:val="73"/>
        </w:numPr>
        <w:spacing w:before="100" w:after="24" w:line="240"/>
        <w:ind w:right="0" w:left="7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First 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molars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19 months</w:t>
      </w:r>
    </w:p>
    <w:p>
      <w:pPr>
        <w:numPr>
          <w:ilvl w:val="0"/>
          <w:numId w:val="73"/>
        </w:numPr>
        <w:spacing w:before="100" w:after="24" w:line="240"/>
        <w:ind w:right="0" w:left="7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Canine teeth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23 months</w:t>
      </w:r>
    </w:p>
    <w:p>
      <w:pPr>
        <w:numPr>
          <w:ilvl w:val="0"/>
          <w:numId w:val="73"/>
        </w:numPr>
        <w:spacing w:before="100" w:after="24" w:line="240"/>
        <w:ind w:right="0" w:left="7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Second molars: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33 months</w:t>
      </w:r>
    </w:p>
    <w:p>
      <w:pPr>
        <w:keepNext w:val="true"/>
        <w:keepLines w:val="true"/>
        <w:spacing w:before="72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  <w:t xml:space="preserve">Exfoliation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replacement of primary teeth begins around age six, when the permanent teeth start to appear in the mouth, resulting in mixed dentition.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upper and lower central incisors are shed at age six to seven years.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 The upper and lower lateral incisors are shed at seven to eight years. 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upper canines are shed at ten to twelve years. 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lower canines are shed at nine to twelve years. 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The upper and lower first molars are shed at nine to eleven years.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FFFFFF" w:val="clear"/>
        </w:rPr>
        <w:t xml:space="preserve"> The upper and lower second molars are shed at ten to twelve years.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The erupting permanent teeth cause 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root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HYPERLINK "https://en.wikipedia.org/wiki/Root_resorption"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resorption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where the permanent teeth push on the roots of the primary teeth,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Causing the roots to be dissolved by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odontoclasts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(as well as surrounding alveolar bone by osteoclasts) and become absorbed by the forming permanent teeth.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The process of shedding primary teeth and their replacement by permanent teeth is called exfoliation.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This may last from six to twelve years of age. By age twelve, there usually are only permanent teeth remaining.</w:t>
      </w:r>
    </w:p>
    <w:p>
      <w:pPr>
        <w:numPr>
          <w:ilvl w:val="0"/>
          <w:numId w:val="75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However, it is not extremely rare for one or more primary teeth to be retained beyond this age, sometimes well into adulthood, often because the secondary tooth fails to develop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  <w:t xml:space="preserve">Function</w:t>
      </w:r>
    </w:p>
    <w:p>
      <w:pPr>
        <w:numPr>
          <w:ilvl w:val="0"/>
          <w:numId w:val="7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Primary teeth are essential in the development of the mouth.</w:t>
      </w:r>
    </w:p>
    <w:p>
      <w:pPr>
        <w:numPr>
          <w:ilvl w:val="0"/>
          <w:numId w:val="7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primary teeth maintain the arch length within the jaw, the bone and the permanent teeth replacements develop from the same tooth germs as the primary teeth</w:t>
      </w:r>
    </w:p>
    <w:p>
      <w:pPr>
        <w:numPr>
          <w:ilvl w:val="0"/>
          <w:numId w:val="7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primary teeth provide guides for the eruption pathway of the permanent teeth.</w:t>
      </w:r>
    </w:p>
    <w:p>
      <w:pPr>
        <w:numPr>
          <w:ilvl w:val="0"/>
          <w:numId w:val="7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Also the 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muscles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of the 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jaw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and the formation of the jaw bones depend on the primary teeth to maintain proper spacing for permanent teeth. </w:t>
      </w:r>
    </w:p>
    <w:p>
      <w:pPr>
        <w:numPr>
          <w:ilvl w:val="0"/>
          <w:numId w:val="7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roots of primary teeth provide an opening for the permanent teeth to erupt.</w:t>
      </w:r>
    </w:p>
    <w:p>
      <w:pPr>
        <w:numPr>
          <w:ilvl w:val="0"/>
          <w:numId w:val="7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The primary teeth are important for the development of the child's speech, for the child's smile and play a role in 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chewing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of food, although children who have had their primary teeth removed (usually as a result of 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dental caries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can still eat and chew to a certain extent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808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8080" w:val="clear"/>
        </w:rPr>
        <w:t xml:space="preserve">________________________________________________________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8080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8080" w:val="clear"/>
        </w:rPr>
        <w:t xml:space="preserve">                    THANK YOU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9">
    <w:abstractNumId w:val="36"/>
  </w:num>
  <w:num w:numId="11">
    <w:abstractNumId w:val="30"/>
  </w:num>
  <w:num w:numId="69">
    <w:abstractNumId w:val="24"/>
  </w:num>
  <w:num w:numId="71">
    <w:abstractNumId w:val="18"/>
  </w:num>
  <w:num w:numId="73">
    <w:abstractNumId w:val="12"/>
  </w:num>
  <w:num w:numId="75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n.wikipedia.org/wiki/Premolar" Id="docRId17" Type="http://schemas.openxmlformats.org/officeDocument/2006/relationships/hyperlink" /><Relationship TargetMode="External" Target="https://en.wikipedia.org/wiki/Jaw" Id="docRId24" Type="http://schemas.openxmlformats.org/officeDocument/2006/relationships/hyperlink" /><Relationship TargetMode="External" Target="https://en.wikipedia.org/wiki/Human_development_(biology)" Id="docRId7" Type="http://schemas.openxmlformats.org/officeDocument/2006/relationships/hyperlink" /><Relationship TargetMode="External" Target="https://en.wikipedia.org/wiki/Canine_tooth" Id="docRId14" Type="http://schemas.openxmlformats.org/officeDocument/2006/relationships/hyperlink" /><Relationship TargetMode="External" Target="https://en.wikipedia.org/wiki/Muscle" Id="docRId23" Type="http://schemas.openxmlformats.org/officeDocument/2006/relationships/hyperlink" /><Relationship TargetMode="External" Target="https://en.wikipedia.org/wiki/Permanent_teeth" Id="docRId6" Type="http://schemas.openxmlformats.org/officeDocument/2006/relationships/hyperlink" /><Relationship TargetMode="External" Target="https://en.wikipedia.org/wiki/Teeth" Id="docRId1" Type="http://schemas.openxmlformats.org/officeDocument/2006/relationships/hyperlink" /><Relationship TargetMode="External" Target="https://en.wikipedia.org/wiki/Molar_(tooth)" Id="docRId15" Type="http://schemas.openxmlformats.org/officeDocument/2006/relationships/hyperlink" /><Relationship TargetMode="External" Target="https://en.wikipedia.org/wiki/Root_resorption" Id="docRId22" Type="http://schemas.openxmlformats.org/officeDocument/2006/relationships/hyperlink" /><Relationship TargetMode="External" Target="https://en.wikipedia.org/wiki/Tooth_eruption" Id="docRId9" Type="http://schemas.openxmlformats.org/officeDocument/2006/relationships/hyperlink" /><Relationship TargetMode="External" Target="https://www.healthline.com/health/teeth-names" Id="docRId0" Type="http://schemas.openxmlformats.org/officeDocument/2006/relationships/hyperlink" /><Relationship TargetMode="External" Target="https://en.wikipedia.org/wiki/Maxillary_central_incisor" Id="docRId12" Type="http://schemas.openxmlformats.org/officeDocument/2006/relationships/hyperlink" /><Relationship TargetMode="External" Target="https://en.wikipedia.org/wiki/Canine_tooth" Id="docRId21" Type="http://schemas.openxmlformats.org/officeDocument/2006/relationships/hyperlink" /><Relationship TargetMode="External" Target="https://en.wikipedia.org/wiki/Dental_lamina" Id="docRId8" Type="http://schemas.openxmlformats.org/officeDocument/2006/relationships/hyperlink" /><Relationship TargetMode="External" Target="https://en.wikipedia.org/wiki/Maxillary_lateral_incisor" Id="docRId13" Type="http://schemas.openxmlformats.org/officeDocument/2006/relationships/hyperlink" /><Relationship TargetMode="External" Target="https://en.wikipedia.org/wiki/Molar_(tooth)" Id="docRId20" Type="http://schemas.openxmlformats.org/officeDocument/2006/relationships/hyperlink" /><Relationship Target="styles.xml" Id="docRId28" Type="http://schemas.openxmlformats.org/officeDocument/2006/relationships/styles" /><Relationship TargetMode="External" Target="https://en.wikipedia.org/wiki/Embryo" Id="docRId3" Type="http://schemas.openxmlformats.org/officeDocument/2006/relationships/hyperlink" /><Relationship TargetMode="External" Target="https://en.wikipedia.org/wiki/Teething" Id="docRId10" Type="http://schemas.openxmlformats.org/officeDocument/2006/relationships/hyperlink" /><Relationship TargetMode="External" Target="https://en.wikipedia.org/wiki/Incisor" Id="docRId18" Type="http://schemas.openxmlformats.org/officeDocument/2006/relationships/hyperlink" /><Relationship TargetMode="External" Target="https://en.wikipedia.org/wiki/Tooth_development" Id="docRId2" Type="http://schemas.openxmlformats.org/officeDocument/2006/relationships/hyperlink" /><Relationship Target="numbering.xml" Id="docRId27" Type="http://schemas.openxmlformats.org/officeDocument/2006/relationships/numbering" /><Relationship TargetMode="External" Target="https://en.wikipedia.org/wiki/Maxillary_second_molar" Id="docRId11" Type="http://schemas.openxmlformats.org/officeDocument/2006/relationships/hyperlink" /><Relationship TargetMode="External" Target="https://en.wikipedia.org/wiki/Incisor" Id="docRId19" Type="http://schemas.openxmlformats.org/officeDocument/2006/relationships/hyperlink" /><Relationship TargetMode="External" Target="https://en.wikipedia.org/wiki/Tooth_decay" Id="docRId26" Type="http://schemas.openxmlformats.org/officeDocument/2006/relationships/hyperlink" /><Relationship TargetMode="External" Target="https://en.wikipedia.org/wiki/Infancy" Id="docRId5" Type="http://schemas.openxmlformats.org/officeDocument/2006/relationships/hyperlink" /><Relationship TargetMode="External" Target="https://en.wikipedia.org/wiki/Mandibular_second_molar" Id="docRId16" Type="http://schemas.openxmlformats.org/officeDocument/2006/relationships/hyperlink" /><Relationship TargetMode="External" Target="https://en.wikipedia.org/wiki/Mastication" Id="docRId25" Type="http://schemas.openxmlformats.org/officeDocument/2006/relationships/hyperlink" /><Relationship TargetMode="External" Target="https://en.wikipedia.org/wiki/Mouth" Id="docRId4" Type="http://schemas.openxmlformats.org/officeDocument/2006/relationships/hyperlink" /></Relationships>
</file>