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59"/>
        <w:ind w:left="0" w:right="4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highlight w:val="yellow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0"/>
          <w:highlight w:val="yellow"/>
          <w:shd w:val="clear" w:color="auto" w:fill="auto"/>
        </w:rPr>
        <w:t>Course Title: General pharmacology I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0"/>
          <w:highlight w:val="yellow"/>
          <w:shd w:val="clear" w:color="auto" w:fill="auto"/>
        </w:rPr>
        <w:t xml:space="preserve"> (LAB)         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0"/>
          <w:highlight w:val="none"/>
          <w:shd w:val="clear" w:color="auto" w:fill="auto"/>
        </w:rPr>
        <w:t xml:space="preserve">             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0"/>
          <w:highlight w:val="yellow"/>
          <w:shd w:val="clear" w:color="auto" w:fill="auto"/>
        </w:rPr>
        <w:t xml:space="preserve"> 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0"/>
          <w:highlight w:val="yellow"/>
          <w:shd w:val="clear" w:color="auto" w:fill="auto"/>
        </w:rPr>
        <w:tab/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0"/>
          <w:highlight w:val="yellow"/>
          <w:shd w:val="clear" w:color="auto" w:fill="auto"/>
        </w:rPr>
        <w:t xml:space="preserve">                                               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highlight w:val="yellow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0"/>
          <w:highlight w:val="yellow"/>
          <w:shd w:val="clear" w:color="auto" w:fill="auto"/>
        </w:rPr>
        <w:t>Student Name:</w:t>
      </w:r>
      <w:r>
        <w:rPr>
          <w:rFonts w:ascii="Arial" w:cs="Arial" w:eastAsia="Arial" w:hAnsi="Arial"/>
          <w:b/>
          <w:color w:val="auto"/>
          <w:spacing w:val="0"/>
          <w:position w:val="0"/>
          <w:sz w:val="20"/>
          <w:highlight w:val="yellow"/>
          <w:shd w:val="clear" w:color="auto" w:fill="auto"/>
          <w:lang w:val="en-US"/>
        </w:rPr>
        <w:t xml:space="preserve">  Shamsher ali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0"/>
          <w:highlight w:val="yellow"/>
          <w:shd w:val="clear" w:color="auto" w:fill="auto"/>
        </w:rPr>
        <w:t xml:space="preserve">Student ID: </w:t>
      </w:r>
      <w:r>
        <w:rPr>
          <w:rFonts w:ascii="Arial" w:cs="Arial" w:eastAsia="Arial" w:hAnsi="Arial"/>
          <w:b/>
          <w:color w:val="auto"/>
          <w:spacing w:val="0"/>
          <w:position w:val="0"/>
          <w:sz w:val="20"/>
          <w:highlight w:val="yellow"/>
          <w:shd w:val="clear" w:color="auto" w:fill="auto"/>
          <w:lang w:val="en-US"/>
        </w:rPr>
        <w:t>16849</w:t>
      </w:r>
      <w:r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  <w:tab/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 w:val="false"/>
          <w:bCs w:val="false"/>
          <w:color w:val="auto"/>
          <w:spacing w:val="0"/>
          <w:position w:val="0"/>
          <w:sz w:val="20"/>
          <w:highlight w:val="none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highlight w:val="yellow"/>
          <w:shd w:val="clear" w:color="auto" w:fill="auto"/>
        </w:rPr>
        <w:t>Discuss mechanism of antibiotics according to different targets and classify them o</w:t>
      </w: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>ne by one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bCs/>
          <w:color w:val="bf0000"/>
          <w:spacing w:val="0"/>
          <w:position w:val="0"/>
          <w:sz w:val="24"/>
          <w:highlight w:val="none"/>
          <w:shd w:val="clear" w:color="auto" w:fill="auto"/>
        </w:rPr>
      </w:pPr>
      <w:r>
        <w:rPr>
          <w:rFonts w:ascii="Arial" w:cs="Arial" w:eastAsia="Arial" w:hAnsi="Arial"/>
          <w:b/>
          <w:bCs/>
          <w:color w:val="bf0000"/>
          <w:spacing w:val="0"/>
          <w:position w:val="0"/>
          <w:sz w:val="24"/>
          <w:highlight w:val="none"/>
          <w:shd w:val="clear" w:color="auto" w:fill="auto"/>
        </w:rPr>
        <w:t>Ans: antibiotics: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bCs/>
          <w:color w:val="auto"/>
          <w:spacing w:val="0"/>
          <w:position w:val="0"/>
          <w:sz w:val="24"/>
          <w:highlight w:val="yellow"/>
          <w:shd w:val="clear" w:color="auto" w:fill="auto"/>
        </w:rPr>
        <w:t xml:space="preserve">   </w:t>
      </w:r>
      <w:r>
        <w:rPr>
          <w:rFonts w:ascii="Arial" w:cs="Arial" w:eastAsia="Arial" w:hAnsi="Arial"/>
          <w:b/>
          <w:bCs/>
          <w:color w:val="auto"/>
          <w:spacing w:val="0"/>
          <w:position w:val="0"/>
          <w:sz w:val="24"/>
          <w:highlight w:val="none"/>
          <w:shd w:val="clear" w:color="auto" w:fill="auto"/>
        </w:rPr>
        <w:t xml:space="preserve">                         Ant</w:t>
      </w:r>
      <w:r>
        <w:rPr>
          <w:rFonts w:ascii="Arial"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</w:rPr>
        <w:t xml:space="preserve">ibiotics </w:t>
      </w:r>
      <w:r>
        <w:rPr>
          <w:rFonts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  <w:lang w:val="en-US"/>
        </w:rPr>
        <w:t xml:space="preserve">are </w:t>
      </w:r>
      <w:r>
        <w:rPr>
          <w:rFonts w:ascii="Arial"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</w:rPr>
        <w:t>substance</w:t>
      </w:r>
      <w:r>
        <w:rPr>
          <w:rFonts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  <w:lang w:val="en-US"/>
        </w:rPr>
        <w:t>s that kill</w:t>
      </w:r>
      <w:r>
        <w:rPr>
          <w:rFonts w:ascii="Arial"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  <w:lang w:val="en-US"/>
        </w:rPr>
        <w:t>or</w:t>
      </w:r>
      <w:r>
        <w:rPr>
          <w:rFonts w:ascii="Arial"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</w:rPr>
        <w:t xml:space="preserve">inhibits the growth </w:t>
      </w:r>
      <w:r>
        <w:rPr>
          <w:rFonts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  <w:lang w:val="en-US"/>
        </w:rPr>
        <w:t xml:space="preserve">of </w:t>
      </w:r>
      <w:r>
        <w:rPr>
          <w:rFonts w:ascii="Arial" w:cs="Arial" w:eastAsia="Arial" w:hAnsi="Arial"/>
          <w:b/>
          <w:bCs/>
          <w:color w:val="auto"/>
          <w:spacing w:val="0"/>
          <w:position w:val="0"/>
          <w:sz w:val="24"/>
          <w:shd w:val="clear" w:color="auto" w:fill="auto"/>
        </w:rPr>
        <w:t>microorg</w:t>
      </w: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anism 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cs="Arial" w:eastAsia="Arial" w:hAnsi="Arial"/>
          <w:color w:val="auto"/>
          <w:spacing w:val="0"/>
          <w:position w:val="0"/>
          <w:sz w:val="24"/>
          <w:shd w:val="clear" w:color="auto" w:fill="auto"/>
          <w:lang w:val="en-US"/>
        </w:rPr>
      </w:pPr>
      <w:r>
        <w:rPr>
          <w:rFonts w:cs="Arial" w:eastAsia="Arial" w:hAnsi="Arial"/>
          <w:color w:val="auto"/>
          <w:spacing w:val="0"/>
          <w:position w:val="0"/>
          <w:sz w:val="24"/>
          <w:shd w:val="clear" w:color="auto" w:fill="auto"/>
          <w:lang w:val="en-US"/>
        </w:rPr>
        <w:t>Bacteriostatic ( tetracycline, chloramphenicol)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bf0000"/>
          <w:spacing w:val="0"/>
          <w:position w:val="0"/>
          <w:sz w:val="24"/>
          <w:highlight w:val="yellow"/>
          <w:shd w:val="clear" w:color="auto" w:fill="auto"/>
        </w:rPr>
      </w:pPr>
      <w:r>
        <w:rPr>
          <w:rFonts w:cs="Arial" w:eastAsia="Arial" w:hAnsi="Arial"/>
          <w:color w:val="auto"/>
          <w:spacing w:val="0"/>
          <w:position w:val="0"/>
          <w:sz w:val="24"/>
          <w:shd w:val="clear" w:color="auto" w:fill="auto"/>
          <w:lang w:val="en-US"/>
        </w:rPr>
        <w:t>Bacteriocidal (beta lactams Amino glycosidic.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b/>
          <w:bCs/>
          <w:color w:val="bf0000"/>
          <w:spacing w:val="0"/>
          <w:position w:val="0"/>
          <w:sz w:val="24"/>
          <w:highlight w:val="none"/>
          <w:shd w:val="clear" w:color="auto" w:fill="auto"/>
        </w:rPr>
      </w:pPr>
      <w:r>
        <w:rPr>
          <w:rFonts w:ascii="Arial" w:cs="Arial" w:eastAsia="Arial" w:hAnsi="Arial"/>
          <w:b/>
          <w:bCs/>
          <w:color w:val="bf0000"/>
          <w:spacing w:val="0"/>
          <w:position w:val="0"/>
          <w:sz w:val="24"/>
          <w:highlight w:val="none"/>
          <w:shd w:val="clear" w:color="auto" w:fill="auto"/>
        </w:rPr>
        <w:t>Antibiotics classification: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b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 xml:space="preserve">There are all components or function necessary for beactrial growth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Targets  for antibiotics :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Inhibitors of cell wall synthesis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Arial" w:cs="Arial" w:eastAsia="Arial" w:hAnsi="Arial"/>
          <w:color w:val="auto"/>
          <w:spacing w:val="0"/>
          <w:position w:val="0"/>
          <w:sz w:val="24"/>
          <w:shd w:val="clear" w:color="auto" w:fill="auto"/>
        </w:rPr>
        <w:t>Inhibitors of protein synthesis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inhibitors of membrane synthesis 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Anti metabiotics</w:t>
      </w:r>
    </w:p>
    <w:p>
      <w:pPr>
        <w:pStyle w:val="style0"/>
        <w:numPr>
          <w:ilvl w:val="0"/>
          <w:numId w:val="5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Ihhibitors of nuclieic acid synthesis.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</w:pP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highlight w:val="yellow"/>
          <w:shd w:val="clear" w:color="auto" w:fill="auto"/>
        </w:rPr>
        <w:t>Inhibitors of cell wll  synthesi</w:t>
      </w: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highlight w:val="yellow"/>
          <w:shd w:val="clear" w:color="auto" w:fill="auto"/>
          <w:lang w:val="en-US"/>
        </w:rPr>
        <w:t>sand function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  <w:lang w:val="en-US"/>
        </w:rPr>
        <w:t>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  <w:t>Beta-lactams</w:t>
      </w:r>
    </w:p>
    <w:p>
      <w:pPr>
        <w:pStyle w:val="style0"/>
        <w:numPr>
          <w:ilvl w:val="0"/>
          <w:numId w:val="8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Penicillins</w:t>
      </w:r>
    </w:p>
    <w:p>
      <w:pPr>
        <w:pStyle w:val="style0"/>
        <w:numPr>
          <w:ilvl w:val="0"/>
          <w:numId w:val="8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cephalospporin</w:t>
      </w:r>
    </w:p>
    <w:p>
      <w:pPr>
        <w:pStyle w:val="style0"/>
        <w:numPr>
          <w:ilvl w:val="0"/>
          <w:numId w:val="8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Monobactams </w:t>
      </w:r>
    </w:p>
    <w:p>
      <w:pPr>
        <w:pStyle w:val="style0"/>
        <w:numPr>
          <w:ilvl w:val="0"/>
          <w:numId w:val="8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carbapenems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  <w:t xml:space="preserve">      • vancomycin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  <w:t xml:space="preserve">    •   Daptomycin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  <w:t>Bacteria cell wall synthesis: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2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The peptidogiycan (which provide rigid mechanical stability)is composed of glycan chain which are  liner strands of two alternating  amino sugar tht are cross link by peotide chain.</w:t>
      </w:r>
    </w:p>
    <w:p>
      <w:pPr>
        <w:pStyle w:val="style0"/>
        <w:numPr>
          <w:ilvl w:val="0"/>
          <w:numId w:val="2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In gram - piostive microoganism the cell is 50 to 100 molecule thick but it is only 1 to 2 molecules thicks in gram - negative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  <w:t xml:space="preserve">     •  the cell wall bacteria are essentially for their normal growth and development.</w:t>
      </w: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  <w:t>Penicillins: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  <w:t xml:space="preserve">     Mechanism of action of beta lactam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  <w:t>s:</w:t>
      </w:r>
    </w:p>
    <w:p>
      <w:pPr>
        <w:pStyle w:val="style0"/>
        <w:spacing w:before="0" w:after="160" w:lineRule="auto" w:line="259"/>
        <w:ind w:right="0"/>
        <w:jc w:val="left"/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  <w:lang w:val="en-US"/>
        </w:rPr>
        <w:t xml:space="preserve">    •.   </w:t>
      </w: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  <w:lang w:val="en-US"/>
        </w:rPr>
        <w:t>The first most  diverse , and most  commonly used  class of antibiotic.</w:t>
      </w:r>
    </w:p>
    <w:p>
      <w:pPr>
        <w:pStyle w:val="style0"/>
        <w:numPr>
          <w:ilvl w:val="0"/>
          <w:numId w:val="3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All  penicillin derivativesw produce thier bacteriocidal effects by inhibition of bacterial cell wall synthesis. </w:t>
      </w:r>
    </w:p>
    <w:p>
      <w:pPr>
        <w:pStyle w:val="style0"/>
        <w:numPr>
          <w:ilvl w:val="0"/>
          <w:numId w:val="3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  <w:t>Beta lactams antibiotic are generally bacteriocidal.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left="72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  <w:t>inhibitors of protein synthesis: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  <w:t xml:space="preserve">Aminoglycoside: Gentamicin, Tobramycin,Amikacin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  <w:t xml:space="preserve">   MLSK</w:t>
      </w: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(Macrolides ,Lincosamide, Streptomycin)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  <w:t>Tetracyclines-</w:t>
      </w:r>
      <w:r>
        <w:rPr>
          <w:rFonts w:ascii="Calibri" w:cs="Calibri" w:eastAsia="Calibri" w:hAnsi="Calibri"/>
          <w:b/>
          <w:bCs/>
          <w:color w:val="auto"/>
          <w:spacing w:val="0"/>
          <w:position w:val="0"/>
          <w:sz w:val="28"/>
          <w:shd w:val="clear" w:color="auto" w:fill="auto"/>
        </w:rPr>
        <w:t>(</w:t>
      </w: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bactericiddal) tetracycline , Doxyccline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bCs/>
          <w:color w:val="auto"/>
          <w:spacing w:val="0"/>
          <w:position w:val="0"/>
          <w:sz w:val="28"/>
          <w:shd w:val="clear" w:color="auto" w:fill="auto"/>
          <w:lang w:val="en-US"/>
        </w:rPr>
      </w:pPr>
      <w:r>
        <w:rPr>
          <w:rFonts w:ascii="Calibri" w:cs="Calibri" w:eastAsia="Calibri" w:hAnsi="Calibri"/>
          <w:b/>
          <w:bCs/>
          <w:color w:val="auto"/>
          <w:spacing w:val="0"/>
          <w:position w:val="0"/>
          <w:sz w:val="28"/>
          <w:shd w:val="clear" w:color="auto" w:fill="auto"/>
          <w:lang w:val="en-US"/>
        </w:rPr>
        <w:t xml:space="preserve">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bCs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  <w:t>Chloramphenical:</w:t>
      </w:r>
    </w:p>
    <w:p>
      <w:pPr>
        <w:pStyle w:val="style0"/>
        <w:numPr>
          <w:ilvl w:val="0"/>
          <w:numId w:val="4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  <w:t xml:space="preserve">    c</w:t>
      </w: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  <w:t xml:space="preserve">horaphenical bind reversible </w:t>
      </w:r>
    </w:p>
    <w:p>
      <w:pPr>
        <w:pStyle w:val="style0"/>
        <w:numPr>
          <w:ilvl w:val="0"/>
          <w:numId w:val="4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  <w:t xml:space="preserve">y to the 50s subunite of the bacteria ribosome and inhibit  pepptid bond formation </w:t>
      </w:r>
    </w:p>
    <w:p>
      <w:pPr>
        <w:pStyle w:val="style0"/>
        <w:numPr>
          <w:ilvl w:val="0"/>
          <w:numId w:val="4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  <w:t>Bacteriostatic broad spectrum antibiotics that is active against both areobic and anareobic gram-negative gram- postive orga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  <w:t>nism</w:t>
      </w:r>
    </w:p>
    <w:p>
      <w:pPr>
        <w:pStyle w:val="style0"/>
        <w:numPr>
          <w:ilvl w:val="0"/>
          <w:numId w:val="4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</w:rPr>
        <w:t>It is active  also aganist rickettsiae but no Chlamydiae.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highlight w:val="yellow"/>
          <w:shd w:val="clear" w:color="auto" w:fill="auto"/>
        </w:rPr>
        <w:t xml:space="preserve">3: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  <w:t xml:space="preserve">Inhibitors of Membrane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  <w:t xml:space="preserve"> Function;</w:t>
      </w:r>
    </w:p>
    <w:p>
      <w:pPr>
        <w:pStyle w:val="style0"/>
        <w:numPr>
          <w:ilvl w:val="0"/>
          <w:numId w:val="7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Lipospeptides</w:t>
      </w:r>
    </w:p>
    <w:p>
      <w:pPr>
        <w:pStyle w:val="style0"/>
        <w:numPr>
          <w:ilvl w:val="0"/>
          <w:numId w:val="7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Polymyxins</w:t>
      </w:r>
    </w:p>
    <w:p>
      <w:pPr>
        <w:pStyle w:val="style0"/>
        <w:numPr>
          <w:ilvl w:val="0"/>
          <w:numId w:val="7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Colistime </w:t>
      </w:r>
    </w:p>
    <w:p>
      <w:pPr>
        <w:pStyle w:val="style0"/>
        <w:numPr>
          <w:ilvl w:val="0"/>
          <w:numId w:val="7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ethate sodium</w:t>
      </w:r>
    </w:p>
    <w:p>
      <w:pPr>
        <w:pStyle w:val="style0"/>
        <w:numPr>
          <w:ilvl w:val="0"/>
          <w:numId w:val="7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Cyclic lipopeptides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  <w:lang w:val="en-US"/>
        </w:rPr>
      </w:pP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</w:rPr>
        <w:t>Polymyxin of action</w:t>
      </w:r>
      <w:r>
        <w:rPr>
          <w:rFonts w:ascii="Calibri" w:cs="Calibri" w:eastAsia="Calibri" w:hAnsi="Calibri"/>
          <w:b/>
          <w:color w:val="bf0000"/>
          <w:spacing w:val="0"/>
          <w:position w:val="0"/>
          <w:sz w:val="28"/>
          <w:shd w:val="clear" w:color="auto" w:fill="auto"/>
          <w:lang w:val="en-US"/>
        </w:rPr>
        <w:t xml:space="preserve">: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6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Target: Membrane phospholipids saccharides (lps) and Lipopot</w:t>
      </w: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  <w:t>.</w:t>
      </w:r>
    </w:p>
    <w:p>
      <w:pPr>
        <w:pStyle w:val="style0"/>
        <w:numPr>
          <w:ilvl w:val="0"/>
          <w:numId w:val="6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Outer and cytoplasmic membrane effect</w:t>
      </w:r>
    </w:p>
    <w:p>
      <w:pPr>
        <w:pStyle w:val="style0"/>
        <w:numPr>
          <w:ilvl w:val="0"/>
          <w:numId w:val="6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 w:val="false"/>
          <w:bCs w:val="false"/>
          <w:color w:val="auto"/>
          <w:spacing w:val="0"/>
          <w:position w:val="0"/>
          <w:sz w:val="28"/>
          <w:shd w:val="clear" w:color="auto" w:fill="auto"/>
          <w:lang w:val="en-US"/>
        </w:rPr>
        <w:t>Gram positive are naturally resistance.</w:t>
      </w:r>
    </w:p>
    <w:p>
      <w:pPr>
        <w:pStyle w:val="style0"/>
        <w:numPr>
          <w:ilvl w:val="0"/>
          <w:numId w:val="6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cattionic detergent and effect all membranes similarly toxic side effect are common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72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left="72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  <w:t>Inhibitors of Nucleic acids synthesis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  <w:lang w:val="en-US"/>
        </w:rPr>
        <w:t>an and function: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bCs/>
          <w:color w:val="bf0000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b/>
          <w:bCs/>
          <w:color w:val="bf0000"/>
          <w:spacing w:val="0"/>
          <w:position w:val="0"/>
          <w:sz w:val="28"/>
          <w:shd w:val="clear" w:color="auto" w:fill="auto"/>
        </w:rPr>
        <w:t>quinolones: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 Humans do synthesize DNA- shared process with bacteria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Do tend to see some side  effect with Quinnolones some drugs withdrawn from market quikly </w:t>
      </w: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  <w:t>quinoline.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</w:pPr>
      <w:r>
        <w:rPr>
          <w:rFonts w:ascii="Calibri" w:cs="Calibri" w:eastAsia="Calibri" w:hAnsi="Calibri"/>
          <w:b/>
          <w:color w:val="auto"/>
          <w:spacing w:val="0"/>
          <w:position w:val="0"/>
          <w:sz w:val="28"/>
          <w:highlight w:val="yellow"/>
          <w:shd w:val="clear" w:color="auto" w:fill="auto"/>
        </w:rPr>
        <w:t>Mode of action:</w:t>
      </w:r>
    </w:p>
    <w:p>
      <w:pPr>
        <w:pStyle w:val="style0"/>
        <w:spacing w:before="0" w:after="160" w:lineRule="auto" w:line="259"/>
        <w:ind w:right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  <w:lang w:val="en-US"/>
        </w:rPr>
        <w:t xml:space="preserve">    •     Rapid bacterial activities.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Small and hydrophilic quinolones have no prpblem crossing the outer membrane.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They easily diffuse through the peptidoglycan and the cytoplasmic  membrane and rapidly their target.</w:t>
      </w:r>
    </w:p>
    <w:p>
      <w:pPr>
        <w:pStyle w:val="style0"/>
        <w:numPr>
          <w:ilvl w:val="0"/>
          <w:numId w:val="1"/>
        </w:numPr>
        <w:spacing w:before="0" w:after="160" w:lineRule="auto" w:line="259"/>
        <w:ind w:left="720" w:right="0" w:hanging="36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>Target +Topoisomerrases(DNA-gyrase)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right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  <w:t xml:space="preserve">      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8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7">
    <w:nsid w:val="00000007"/>
    <w:multiLevelType w:val="multilevel"/>
    <w:tmpl w:val="FFFFFFFF"/>
    <w:lvl w:ilvl="0">
      <w:start w:val="1"/>
      <w:numFmt w:val="bullet"/>
      <w:lvlText w:val="•"/>
      <w:lvlJc w:val="left"/>
      <w:pPr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Words>373</Words>
  <Characters>2442</Characters>
  <Application>WPS Office</Application>
  <Paragraphs>108</Paragraphs>
  <CharactersWithSpaces>2936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2020-07-11T07:15:54Z</dcterms:created>
  <dc:creator>WPS Office</dc:creator>
  <lastModifiedBy>HUAWEI VNS-L21</lastModifiedBy>
  <dcterms:modified xsi:type="dcterms:W3CDTF">2020-07-11T08:29:39Z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