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83" w:rsidRPr="00CE168C" w:rsidRDefault="006B7383" w:rsidP="00CE168C">
      <w:pPr>
        <w:spacing w:line="600" w:lineRule="auto"/>
        <w:rPr>
          <w:rFonts w:ascii="Times New Roman" w:hAnsi="Times New Roman"/>
          <w:b/>
          <w:sz w:val="40"/>
          <w:szCs w:val="52"/>
        </w:rPr>
      </w:pPr>
      <w:r w:rsidRPr="00CE168C">
        <w:rPr>
          <w:rFonts w:ascii="Times New Roman" w:hAnsi="Times New Roman"/>
          <w:b/>
          <w:sz w:val="40"/>
          <w:szCs w:val="52"/>
        </w:rPr>
        <w:t xml:space="preserve">Name:                  </w:t>
      </w:r>
      <w:r w:rsidRPr="00CE168C">
        <w:rPr>
          <w:rFonts w:ascii="Times New Roman" w:hAnsi="Times New Roman"/>
          <w:b/>
          <w:sz w:val="40"/>
          <w:szCs w:val="52"/>
        </w:rPr>
        <w:tab/>
      </w:r>
      <w:r w:rsidRPr="00CE168C">
        <w:rPr>
          <w:rFonts w:ascii="Times New Roman" w:hAnsi="Times New Roman"/>
          <w:b/>
          <w:sz w:val="40"/>
          <w:szCs w:val="52"/>
        </w:rPr>
        <w:tab/>
        <w:t xml:space="preserve">       </w:t>
      </w:r>
      <w:proofErr w:type="spellStart"/>
      <w:r w:rsidRPr="00CE168C">
        <w:rPr>
          <w:rFonts w:ascii="Times New Roman" w:hAnsi="Times New Roman"/>
          <w:b/>
          <w:sz w:val="40"/>
          <w:szCs w:val="52"/>
        </w:rPr>
        <w:t>Junaid</w:t>
      </w:r>
      <w:proofErr w:type="spellEnd"/>
      <w:r w:rsidRPr="00CE168C">
        <w:rPr>
          <w:rFonts w:ascii="Times New Roman" w:hAnsi="Times New Roman"/>
          <w:b/>
          <w:sz w:val="40"/>
          <w:szCs w:val="52"/>
        </w:rPr>
        <w:t xml:space="preserve"> </w:t>
      </w:r>
      <w:proofErr w:type="spellStart"/>
      <w:r w:rsidRPr="00CE168C">
        <w:rPr>
          <w:rFonts w:ascii="Times New Roman" w:hAnsi="Times New Roman"/>
          <w:b/>
          <w:sz w:val="40"/>
          <w:szCs w:val="52"/>
        </w:rPr>
        <w:t>Awan</w:t>
      </w:r>
      <w:proofErr w:type="spellEnd"/>
    </w:p>
    <w:p w:rsidR="006B7383" w:rsidRPr="00CE168C" w:rsidRDefault="006B7383" w:rsidP="00CE168C">
      <w:pPr>
        <w:spacing w:line="600" w:lineRule="auto"/>
        <w:rPr>
          <w:rFonts w:ascii="Times New Roman" w:hAnsi="Times New Roman"/>
          <w:b/>
          <w:sz w:val="40"/>
          <w:szCs w:val="52"/>
        </w:rPr>
      </w:pPr>
      <w:r w:rsidRPr="00CE168C">
        <w:rPr>
          <w:rFonts w:ascii="Times New Roman" w:hAnsi="Times New Roman"/>
          <w:b/>
          <w:sz w:val="40"/>
          <w:szCs w:val="52"/>
        </w:rPr>
        <w:t xml:space="preserve">ID:                        </w:t>
      </w:r>
      <w:r w:rsidRPr="00CE168C">
        <w:rPr>
          <w:rFonts w:ascii="Times New Roman" w:hAnsi="Times New Roman"/>
          <w:b/>
          <w:sz w:val="40"/>
          <w:szCs w:val="52"/>
        </w:rPr>
        <w:tab/>
      </w:r>
      <w:r w:rsidRPr="00CE168C">
        <w:rPr>
          <w:rFonts w:ascii="Times New Roman" w:hAnsi="Times New Roman"/>
          <w:b/>
          <w:sz w:val="40"/>
          <w:szCs w:val="52"/>
        </w:rPr>
        <w:tab/>
        <w:t xml:space="preserve">   </w:t>
      </w:r>
      <w:r w:rsidRPr="00CE168C">
        <w:rPr>
          <w:rFonts w:ascii="Times New Roman" w:hAnsi="Times New Roman"/>
          <w:b/>
          <w:sz w:val="40"/>
          <w:szCs w:val="52"/>
        </w:rPr>
        <w:tab/>
        <w:t xml:space="preserve">     13761</w:t>
      </w:r>
    </w:p>
    <w:p w:rsidR="006B7383" w:rsidRPr="00CE168C" w:rsidRDefault="006B7383" w:rsidP="00CE168C">
      <w:pPr>
        <w:spacing w:line="600" w:lineRule="auto"/>
        <w:rPr>
          <w:rFonts w:ascii="Times New Roman" w:hAnsi="Times New Roman"/>
          <w:b/>
          <w:sz w:val="40"/>
          <w:szCs w:val="52"/>
        </w:rPr>
      </w:pPr>
      <w:r w:rsidRPr="00CE168C">
        <w:rPr>
          <w:rFonts w:ascii="Times New Roman" w:hAnsi="Times New Roman"/>
          <w:b/>
          <w:sz w:val="40"/>
          <w:szCs w:val="52"/>
        </w:rPr>
        <w:t xml:space="preserve">Department:      </w:t>
      </w:r>
      <w:r w:rsidRPr="00CE168C">
        <w:rPr>
          <w:rFonts w:ascii="Times New Roman" w:hAnsi="Times New Roman"/>
          <w:b/>
          <w:sz w:val="40"/>
          <w:szCs w:val="52"/>
        </w:rPr>
        <w:tab/>
      </w:r>
      <w:r w:rsidRPr="00CE168C">
        <w:rPr>
          <w:rFonts w:ascii="Times New Roman" w:hAnsi="Times New Roman"/>
          <w:b/>
          <w:sz w:val="40"/>
          <w:szCs w:val="52"/>
        </w:rPr>
        <w:tab/>
        <w:t xml:space="preserve">    </w:t>
      </w:r>
      <w:r w:rsidRPr="00CE168C">
        <w:rPr>
          <w:rFonts w:ascii="Times New Roman" w:hAnsi="Times New Roman"/>
          <w:b/>
          <w:sz w:val="40"/>
          <w:szCs w:val="52"/>
        </w:rPr>
        <w:tab/>
      </w:r>
      <w:r w:rsidRPr="00CE168C">
        <w:rPr>
          <w:rFonts w:ascii="Times New Roman" w:hAnsi="Times New Roman"/>
          <w:b/>
          <w:sz w:val="40"/>
          <w:szCs w:val="52"/>
        </w:rPr>
        <w:tab/>
        <w:t xml:space="preserve">      BBA</w:t>
      </w:r>
    </w:p>
    <w:p w:rsidR="006B7383" w:rsidRPr="00CE168C" w:rsidRDefault="006B7383" w:rsidP="00CE168C">
      <w:pPr>
        <w:spacing w:line="600" w:lineRule="auto"/>
        <w:rPr>
          <w:rFonts w:ascii="Times New Roman" w:hAnsi="Times New Roman"/>
          <w:b/>
          <w:sz w:val="40"/>
          <w:szCs w:val="52"/>
        </w:rPr>
      </w:pPr>
      <w:r w:rsidRPr="00CE168C">
        <w:rPr>
          <w:rFonts w:ascii="Times New Roman" w:hAnsi="Times New Roman"/>
          <w:b/>
          <w:sz w:val="40"/>
          <w:szCs w:val="52"/>
        </w:rPr>
        <w:t>Semester:</w:t>
      </w:r>
      <w:r w:rsidRPr="00CE168C">
        <w:rPr>
          <w:rFonts w:ascii="Times New Roman" w:hAnsi="Times New Roman"/>
          <w:b/>
          <w:sz w:val="40"/>
          <w:szCs w:val="52"/>
        </w:rPr>
        <w:tab/>
      </w:r>
      <w:r w:rsidRPr="00CE168C">
        <w:rPr>
          <w:rFonts w:ascii="Times New Roman" w:hAnsi="Times New Roman"/>
          <w:b/>
          <w:sz w:val="40"/>
          <w:szCs w:val="52"/>
        </w:rPr>
        <w:tab/>
      </w:r>
      <w:r w:rsidRPr="00CE168C">
        <w:rPr>
          <w:rFonts w:ascii="Times New Roman" w:hAnsi="Times New Roman"/>
          <w:b/>
          <w:sz w:val="40"/>
          <w:szCs w:val="52"/>
        </w:rPr>
        <w:tab/>
      </w:r>
      <w:r w:rsidRPr="00CE168C">
        <w:rPr>
          <w:rFonts w:ascii="Times New Roman" w:hAnsi="Times New Roman"/>
          <w:b/>
          <w:sz w:val="40"/>
          <w:szCs w:val="52"/>
        </w:rPr>
        <w:tab/>
      </w:r>
      <w:r w:rsidRPr="00CE168C">
        <w:rPr>
          <w:rFonts w:ascii="Times New Roman" w:hAnsi="Times New Roman"/>
          <w:b/>
          <w:sz w:val="40"/>
          <w:szCs w:val="52"/>
        </w:rPr>
        <w:tab/>
        <w:t xml:space="preserve">       6</w:t>
      </w:r>
      <w:r w:rsidRPr="00CE168C">
        <w:rPr>
          <w:rFonts w:ascii="Times New Roman" w:hAnsi="Times New Roman"/>
          <w:b/>
          <w:sz w:val="40"/>
          <w:szCs w:val="52"/>
          <w:vertAlign w:val="superscript"/>
        </w:rPr>
        <w:t>TH</w:t>
      </w:r>
      <w:r w:rsidRPr="00CE168C">
        <w:rPr>
          <w:rFonts w:ascii="Times New Roman" w:hAnsi="Times New Roman"/>
          <w:b/>
          <w:sz w:val="40"/>
          <w:szCs w:val="52"/>
        </w:rPr>
        <w:t xml:space="preserve"> </w:t>
      </w:r>
    </w:p>
    <w:p w:rsidR="006B7383" w:rsidRPr="00CE168C" w:rsidRDefault="006B7383" w:rsidP="00CE168C">
      <w:pPr>
        <w:spacing w:line="600" w:lineRule="auto"/>
        <w:rPr>
          <w:rFonts w:ascii="Times New Roman" w:hAnsi="Times New Roman"/>
          <w:b/>
          <w:sz w:val="40"/>
          <w:szCs w:val="52"/>
        </w:rPr>
      </w:pPr>
      <w:r w:rsidRPr="00CE168C">
        <w:rPr>
          <w:rFonts w:ascii="Times New Roman" w:hAnsi="Times New Roman"/>
          <w:b/>
          <w:sz w:val="40"/>
          <w:szCs w:val="52"/>
        </w:rPr>
        <w:t xml:space="preserve">Assignment:                   </w:t>
      </w:r>
      <w:r w:rsidRPr="00CE168C">
        <w:rPr>
          <w:rFonts w:ascii="Times New Roman" w:hAnsi="Times New Roman"/>
          <w:b/>
          <w:color w:val="000000" w:themeColor="text1"/>
          <w:sz w:val="40"/>
          <w:szCs w:val="52"/>
        </w:rPr>
        <w:t xml:space="preserve">MONETARY ECONOMICS </w:t>
      </w:r>
      <w:r w:rsidRPr="00CE168C">
        <w:rPr>
          <w:rFonts w:ascii="Times New Roman" w:hAnsi="Times New Roman"/>
          <w:b/>
          <w:color w:val="000000" w:themeColor="text1"/>
          <w:sz w:val="40"/>
          <w:szCs w:val="52"/>
        </w:rPr>
        <w:br/>
      </w:r>
      <w:r w:rsidRPr="00CE168C">
        <w:rPr>
          <w:rFonts w:ascii="Times New Roman" w:hAnsi="Times New Roman"/>
          <w:b/>
          <w:color w:val="000000" w:themeColor="text1"/>
          <w:sz w:val="40"/>
          <w:szCs w:val="52"/>
        </w:rPr>
        <w:tab/>
      </w:r>
      <w:r w:rsidRPr="00CE168C">
        <w:rPr>
          <w:rFonts w:ascii="Times New Roman" w:hAnsi="Times New Roman"/>
          <w:b/>
          <w:color w:val="000000" w:themeColor="text1"/>
          <w:sz w:val="40"/>
          <w:szCs w:val="52"/>
        </w:rPr>
        <w:tab/>
      </w:r>
      <w:r w:rsidRPr="00CE168C">
        <w:rPr>
          <w:rFonts w:ascii="Times New Roman" w:hAnsi="Times New Roman"/>
          <w:b/>
          <w:color w:val="000000" w:themeColor="text1"/>
          <w:sz w:val="40"/>
          <w:szCs w:val="52"/>
        </w:rPr>
        <w:tab/>
      </w:r>
      <w:r w:rsidRPr="00CE168C">
        <w:rPr>
          <w:rFonts w:ascii="Times New Roman" w:hAnsi="Times New Roman"/>
          <w:b/>
          <w:color w:val="000000" w:themeColor="text1"/>
          <w:sz w:val="40"/>
          <w:szCs w:val="52"/>
        </w:rPr>
        <w:tab/>
      </w:r>
      <w:r w:rsidRPr="00CE168C">
        <w:rPr>
          <w:rFonts w:ascii="Times New Roman" w:hAnsi="Times New Roman"/>
          <w:b/>
          <w:color w:val="000000" w:themeColor="text1"/>
          <w:sz w:val="40"/>
          <w:szCs w:val="52"/>
        </w:rPr>
        <w:tab/>
      </w:r>
      <w:r w:rsidRPr="00CE168C">
        <w:rPr>
          <w:rFonts w:ascii="Times New Roman" w:hAnsi="Times New Roman"/>
          <w:b/>
          <w:color w:val="000000" w:themeColor="text1"/>
          <w:sz w:val="40"/>
          <w:szCs w:val="52"/>
        </w:rPr>
        <w:tab/>
        <w:t xml:space="preserve">          FINAL Term</w:t>
      </w:r>
    </w:p>
    <w:p w:rsidR="006B7383" w:rsidRPr="00CE168C" w:rsidRDefault="006B7383" w:rsidP="00CE168C">
      <w:pPr>
        <w:spacing w:line="600" w:lineRule="auto"/>
        <w:rPr>
          <w:rFonts w:ascii="Times New Roman" w:hAnsi="Times New Roman"/>
          <w:b/>
          <w:sz w:val="40"/>
          <w:szCs w:val="52"/>
        </w:rPr>
      </w:pPr>
      <w:r w:rsidRPr="00CE168C">
        <w:rPr>
          <w:rFonts w:ascii="Times New Roman" w:hAnsi="Times New Roman"/>
          <w:b/>
          <w:sz w:val="40"/>
          <w:szCs w:val="52"/>
        </w:rPr>
        <w:t xml:space="preserve">Submitted to:   </w:t>
      </w:r>
      <w:r w:rsidRPr="00CE168C">
        <w:rPr>
          <w:rFonts w:ascii="Times New Roman" w:hAnsi="Times New Roman"/>
          <w:b/>
          <w:sz w:val="40"/>
          <w:szCs w:val="52"/>
        </w:rPr>
        <w:tab/>
        <w:t xml:space="preserve">                   Sir Zafar </w:t>
      </w:r>
      <w:proofErr w:type="spellStart"/>
      <w:r w:rsidRPr="00CE168C">
        <w:rPr>
          <w:rFonts w:ascii="Times New Roman" w:hAnsi="Times New Roman"/>
          <w:b/>
          <w:sz w:val="40"/>
          <w:szCs w:val="52"/>
        </w:rPr>
        <w:t>ul</w:t>
      </w:r>
      <w:proofErr w:type="spellEnd"/>
      <w:r w:rsidRPr="00CE168C">
        <w:rPr>
          <w:rFonts w:ascii="Times New Roman" w:hAnsi="Times New Roman"/>
          <w:b/>
          <w:sz w:val="40"/>
          <w:szCs w:val="52"/>
        </w:rPr>
        <w:t xml:space="preserve"> </w:t>
      </w:r>
      <w:proofErr w:type="spellStart"/>
      <w:r w:rsidRPr="00CE168C">
        <w:rPr>
          <w:rFonts w:ascii="Times New Roman" w:hAnsi="Times New Roman"/>
          <w:b/>
          <w:sz w:val="40"/>
          <w:szCs w:val="52"/>
        </w:rPr>
        <w:t>Haq</w:t>
      </w:r>
      <w:proofErr w:type="spellEnd"/>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6B7383" w:rsidRDefault="006B7383" w:rsidP="007D23B1">
      <w:pPr>
        <w:tabs>
          <w:tab w:val="right" w:pos="8307"/>
        </w:tabs>
        <w:spacing w:after="0"/>
        <w:jc w:val="both"/>
        <w:rPr>
          <w:rFonts w:ascii="Times New Roman" w:hAnsi="Times New Roman"/>
          <w:b/>
          <w:sz w:val="24"/>
        </w:rPr>
      </w:pPr>
    </w:p>
    <w:p w:rsidR="00CE168C" w:rsidRDefault="00CE168C" w:rsidP="007D23B1">
      <w:pPr>
        <w:tabs>
          <w:tab w:val="right" w:pos="8307"/>
        </w:tabs>
        <w:spacing w:after="0"/>
        <w:jc w:val="both"/>
        <w:rPr>
          <w:rFonts w:ascii="Times New Roman" w:hAnsi="Times New Roman"/>
          <w:b/>
          <w:sz w:val="24"/>
        </w:rPr>
      </w:pPr>
    </w:p>
    <w:p w:rsidR="00A73EE4" w:rsidRPr="00721E65" w:rsidRDefault="00A73EE4" w:rsidP="007D23B1">
      <w:pPr>
        <w:tabs>
          <w:tab w:val="right" w:pos="8307"/>
        </w:tabs>
        <w:spacing w:after="0"/>
        <w:jc w:val="both"/>
        <w:rPr>
          <w:rFonts w:ascii="Times New Roman" w:hAnsi="Times New Roman"/>
          <w:b/>
          <w:sz w:val="24"/>
        </w:rPr>
      </w:pPr>
      <w:r w:rsidRPr="00721E65">
        <w:rPr>
          <w:rFonts w:ascii="Times New Roman" w:hAnsi="Times New Roman"/>
          <w:b/>
          <w:sz w:val="24"/>
        </w:rPr>
        <w:lastRenderedPageBreak/>
        <w:t xml:space="preserve">QUSTION NO 1 </w:t>
      </w:r>
    </w:p>
    <w:p w:rsidR="00A73EE4" w:rsidRPr="00721E65" w:rsidRDefault="00A73EE4" w:rsidP="007D23B1">
      <w:pPr>
        <w:tabs>
          <w:tab w:val="right" w:pos="8307"/>
        </w:tabs>
        <w:spacing w:after="0"/>
        <w:jc w:val="both"/>
        <w:rPr>
          <w:rFonts w:ascii="Times New Roman" w:hAnsi="Times New Roman"/>
          <w:b/>
          <w:sz w:val="24"/>
        </w:rPr>
      </w:pPr>
      <w:r w:rsidRPr="00721E65">
        <w:rPr>
          <w:rFonts w:ascii="Times New Roman" w:hAnsi="Times New Roman"/>
          <w:b/>
          <w:sz w:val="24"/>
        </w:rPr>
        <w:t xml:space="preserve">  PART A:</w:t>
      </w:r>
    </w:p>
    <w:p w:rsidR="00A73EE4" w:rsidRPr="00721E65" w:rsidRDefault="00A73EE4" w:rsidP="007D23B1">
      <w:pPr>
        <w:tabs>
          <w:tab w:val="right" w:pos="8307"/>
        </w:tabs>
        <w:spacing w:after="0"/>
        <w:jc w:val="both"/>
        <w:rPr>
          <w:rFonts w:ascii="Times New Roman" w:hAnsi="Times New Roman"/>
          <w:b/>
          <w:sz w:val="24"/>
        </w:rPr>
      </w:pPr>
      <w:r w:rsidRPr="00721E65">
        <w:rPr>
          <w:rFonts w:ascii="Times New Roman" w:hAnsi="Times New Roman"/>
          <w:b/>
          <w:sz w:val="24"/>
        </w:rPr>
        <w:tab/>
        <w:t xml:space="preserve">             </w:t>
      </w:r>
      <w:r w:rsidRPr="00721E65">
        <w:rPr>
          <w:rFonts w:ascii="Times New Roman" w:hAnsi="Times New Roman"/>
          <w:b/>
          <w:sz w:val="28"/>
          <w:szCs w:val="25"/>
        </w:rPr>
        <w:t>What is monetary policy? Who formulates it and what are the quantitative tools of monetary policy?</w:t>
      </w:r>
    </w:p>
    <w:p w:rsidR="00A73EE4" w:rsidRPr="00721E65" w:rsidRDefault="00A73EE4" w:rsidP="007D23B1">
      <w:pPr>
        <w:rPr>
          <w:rFonts w:ascii="Times New Roman" w:hAnsi="Times New Roman"/>
        </w:rPr>
      </w:pPr>
      <w:r w:rsidRPr="00721E65">
        <w:rPr>
          <w:rFonts w:ascii="Times New Roman" w:hAnsi="Times New Roman"/>
        </w:rPr>
        <w:t xml:space="preserve">  </w:t>
      </w:r>
    </w:p>
    <w:p w:rsidR="00421F81" w:rsidRPr="00051485" w:rsidRDefault="00A73EE4" w:rsidP="007D23B1">
      <w:pPr>
        <w:rPr>
          <w:rFonts w:ascii="Times New Roman" w:hAnsi="Times New Roman"/>
          <w:b/>
          <w:sz w:val="26"/>
          <w:szCs w:val="26"/>
          <w:shd w:val="clear" w:color="auto" w:fill="FFFFFF"/>
        </w:rPr>
      </w:pPr>
      <w:r w:rsidRPr="00721E65">
        <w:rPr>
          <w:rFonts w:ascii="Times New Roman" w:hAnsi="Times New Roman"/>
          <w:b/>
        </w:rPr>
        <w:t>ANS:</w:t>
      </w:r>
      <w:r w:rsidRPr="00051485">
        <w:rPr>
          <w:rStyle w:val="Strong"/>
          <w:rFonts w:ascii="Times New Roman" w:hAnsi="Times New Roman"/>
          <w:sz w:val="24"/>
          <w:szCs w:val="24"/>
          <w:shd w:val="clear" w:color="auto" w:fill="FFFFFF"/>
        </w:rPr>
        <w:t xml:space="preserve"> Monetary policy</w:t>
      </w:r>
      <w:r w:rsidRPr="00051485">
        <w:rPr>
          <w:rFonts w:ascii="Times New Roman" w:hAnsi="Times New Roman"/>
          <w:sz w:val="24"/>
          <w:szCs w:val="24"/>
          <w:shd w:val="clear" w:color="auto" w:fill="FFFFFF"/>
        </w:rPr>
        <w:t xml:space="preserve"> </w:t>
      </w:r>
      <w:r w:rsidR="00721E65" w:rsidRPr="00051485">
        <w:rPr>
          <w:rFonts w:ascii="Times New Roman" w:hAnsi="Times New Roman"/>
          <w:sz w:val="24"/>
          <w:szCs w:val="24"/>
          <w:shd w:val="clear" w:color="auto" w:fill="FFFFFF"/>
        </w:rPr>
        <w:t>measures utilized by governments to influence economic activity, explicitly by controlling the provisions of money and credit and by altering rates of interest.</w:t>
      </w:r>
      <w:r w:rsidRPr="00051485">
        <w:rPr>
          <w:rFonts w:ascii="Times New Roman" w:hAnsi="Times New Roman"/>
          <w:sz w:val="24"/>
          <w:szCs w:val="24"/>
          <w:shd w:val="clear" w:color="auto" w:fill="FFFFFF"/>
        </w:rPr>
        <w:br/>
        <w:t xml:space="preserve">  </w:t>
      </w:r>
      <w:r w:rsidRPr="00051485">
        <w:rPr>
          <w:rFonts w:ascii="Times New Roman" w:hAnsi="Times New Roman"/>
          <w:sz w:val="24"/>
          <w:szCs w:val="24"/>
          <w:shd w:val="clear" w:color="auto" w:fill="FFFFFF"/>
        </w:rPr>
        <w:tab/>
      </w:r>
      <w:r w:rsidRPr="00051485">
        <w:rPr>
          <w:rFonts w:ascii="Times New Roman" w:hAnsi="Times New Roman"/>
          <w:sz w:val="24"/>
          <w:szCs w:val="24"/>
          <w:shd w:val="clear" w:color="auto" w:fill="FFFFFF"/>
        </w:rPr>
        <w:tab/>
      </w:r>
      <w:r w:rsidRPr="00051485">
        <w:rPr>
          <w:rFonts w:ascii="Times New Roman" w:hAnsi="Times New Roman"/>
          <w:sz w:val="24"/>
          <w:szCs w:val="24"/>
          <w:shd w:val="clear" w:color="auto" w:fill="FFFFFF"/>
        </w:rPr>
        <w:tab/>
      </w:r>
      <w:r w:rsidRPr="00051485">
        <w:rPr>
          <w:rFonts w:ascii="Times New Roman" w:hAnsi="Times New Roman"/>
          <w:sz w:val="24"/>
          <w:szCs w:val="24"/>
          <w:shd w:val="clear" w:color="auto" w:fill="FFFFFF"/>
        </w:rPr>
        <w:tab/>
        <w:t>OR</w:t>
      </w:r>
      <w:r w:rsidRPr="00051485">
        <w:rPr>
          <w:rFonts w:ascii="Times New Roman" w:hAnsi="Times New Roman"/>
          <w:sz w:val="24"/>
          <w:szCs w:val="24"/>
          <w:shd w:val="clear" w:color="auto" w:fill="FFFFFF"/>
        </w:rPr>
        <w:br/>
      </w:r>
      <w:r w:rsidR="00CB7153" w:rsidRPr="00CB7153">
        <w:rPr>
          <w:rFonts w:ascii="Times New Roman" w:hAnsi="Times New Roman"/>
          <w:sz w:val="24"/>
          <w:szCs w:val="24"/>
          <w:shd w:val="clear" w:color="auto" w:fill="FFFFFF"/>
        </w:rPr>
        <w:t>monetary policy, the premium side of monetary arrangement, refers to the exercises undertaken by a nation's national bank to control cash flexibly to achieve macroeconomic objectives that promote sustainable economic growth.</w:t>
      </w:r>
    </w:p>
    <w:p w:rsidR="00A73EE4" w:rsidRPr="00D1696D" w:rsidRDefault="00721E65" w:rsidP="007D23B1">
      <w:pPr>
        <w:rPr>
          <w:rFonts w:ascii="Times New Roman" w:hAnsi="Times New Roman"/>
          <w:b/>
          <w:sz w:val="28"/>
          <w:szCs w:val="26"/>
          <w:shd w:val="clear" w:color="auto" w:fill="FFFFFF"/>
        </w:rPr>
      </w:pPr>
      <w:r w:rsidRPr="00D1696D">
        <w:rPr>
          <w:rFonts w:ascii="Times New Roman" w:hAnsi="Times New Roman"/>
          <w:b/>
          <w:sz w:val="28"/>
          <w:szCs w:val="27"/>
        </w:rPr>
        <w:t>Goals of monetary policy</w:t>
      </w:r>
    </w:p>
    <w:p w:rsidR="00D1696D" w:rsidRDefault="00D1696D" w:rsidP="007D23B1">
      <w:pPr>
        <w:spacing w:after="100" w:afterAutospacing="1"/>
        <w:rPr>
          <w:rFonts w:ascii="Times New Roman" w:hAnsi="Times New Roman"/>
          <w:sz w:val="24"/>
          <w:szCs w:val="24"/>
        </w:rPr>
      </w:pPr>
      <w:r w:rsidRPr="00D1696D">
        <w:rPr>
          <w:rFonts w:ascii="Times New Roman" w:hAnsi="Times New Roman"/>
          <w:sz w:val="24"/>
          <w:szCs w:val="24"/>
        </w:rPr>
        <w:t>The objectives of monetary policy are to promote maximum employment, moderate long-term interest rates and stable prices. By actualizing successful monetary policy, the Fed can keep up stable price, accordingly supporting conditions for long-term economic growth and maximum employment.</w:t>
      </w:r>
    </w:p>
    <w:p w:rsidR="00A92A58" w:rsidRPr="00721E65" w:rsidRDefault="00A92A58" w:rsidP="007D23B1">
      <w:pPr>
        <w:spacing w:after="100" w:afterAutospacing="1"/>
        <w:rPr>
          <w:rFonts w:ascii="Times New Roman" w:hAnsi="Times New Roman"/>
          <w:b/>
          <w:sz w:val="26"/>
          <w:szCs w:val="24"/>
        </w:rPr>
      </w:pPr>
      <w:r w:rsidRPr="00721E65">
        <w:rPr>
          <w:rFonts w:ascii="Times New Roman" w:hAnsi="Times New Roman"/>
          <w:b/>
          <w:sz w:val="28"/>
          <w:szCs w:val="25"/>
        </w:rPr>
        <w:t>Formulates:</w:t>
      </w:r>
    </w:p>
    <w:p w:rsidR="00A73EE4" w:rsidRPr="00D1696D" w:rsidRDefault="00F65A43" w:rsidP="007D23B1">
      <w:pPr>
        <w:rPr>
          <w:rFonts w:ascii="Times New Roman" w:hAnsi="Times New Roman"/>
          <w:sz w:val="20"/>
          <w:szCs w:val="18"/>
          <w:shd w:val="clear" w:color="auto" w:fill="FFFFFF"/>
        </w:rPr>
      </w:pPr>
      <w:r w:rsidRPr="00D1696D">
        <w:rPr>
          <w:rFonts w:ascii="Times New Roman" w:hAnsi="Times New Roman"/>
          <w:sz w:val="24"/>
          <w:shd w:val="clear" w:color="auto" w:fill="FFFFFF"/>
        </w:rPr>
        <w:t xml:space="preserve">Central bank </w:t>
      </w:r>
      <w:r w:rsidR="00D1696D" w:rsidRPr="00D1696D">
        <w:rPr>
          <w:rFonts w:ascii="Times New Roman" w:hAnsi="Times New Roman"/>
          <w:sz w:val="24"/>
          <w:shd w:val="clear" w:color="auto" w:fill="FFFFFF"/>
        </w:rPr>
        <w:t xml:space="preserve">such as </w:t>
      </w:r>
      <w:r w:rsidR="00A92A58" w:rsidRPr="00D1696D">
        <w:rPr>
          <w:rFonts w:ascii="Times New Roman" w:hAnsi="Times New Roman"/>
          <w:sz w:val="24"/>
          <w:shd w:val="clear" w:color="auto" w:fill="FFFFFF"/>
        </w:rPr>
        <w:t>SBP</w:t>
      </w:r>
      <w:r w:rsidR="00D1696D" w:rsidRPr="00D1696D">
        <w:rPr>
          <w:rFonts w:ascii="Times New Roman" w:hAnsi="Times New Roman"/>
          <w:sz w:val="24"/>
          <w:shd w:val="clear" w:color="auto" w:fill="FFFFFF"/>
        </w:rPr>
        <w:t xml:space="preserve"> (STATE BANK OF PAKISTAN)</w:t>
      </w:r>
      <w:r w:rsidR="00A92A58" w:rsidRPr="00D1696D">
        <w:rPr>
          <w:rFonts w:ascii="Times New Roman" w:hAnsi="Times New Roman"/>
          <w:sz w:val="24"/>
          <w:shd w:val="clear" w:color="auto" w:fill="FFFFFF"/>
        </w:rPr>
        <w:t xml:space="preserve"> issues </w:t>
      </w:r>
      <w:r w:rsidR="00A92A58" w:rsidRPr="00D1696D">
        <w:rPr>
          <w:rFonts w:ascii="Times New Roman" w:hAnsi="Times New Roman"/>
          <w:bCs/>
          <w:sz w:val="24"/>
          <w:shd w:val="clear" w:color="auto" w:fill="FFFFFF"/>
        </w:rPr>
        <w:t>Monetary Policy</w:t>
      </w:r>
      <w:r w:rsidR="00A92A58" w:rsidRPr="00D1696D">
        <w:rPr>
          <w:rFonts w:ascii="Times New Roman" w:hAnsi="Times New Roman"/>
          <w:sz w:val="24"/>
          <w:shd w:val="clear" w:color="auto" w:fill="FFFFFF"/>
        </w:rPr>
        <w:t xml:space="preserve"> Statement and Decisions six times a year on its website. </w:t>
      </w:r>
      <w:r w:rsidR="00D1696D" w:rsidRPr="00D1696D">
        <w:rPr>
          <w:rFonts w:ascii="Times New Roman" w:hAnsi="Times New Roman"/>
          <w:sz w:val="24"/>
          <w:shd w:val="clear" w:color="auto" w:fill="FFFFFF"/>
        </w:rPr>
        <w:t>These documents provide analysis of current monetary conditions and sets out the national bank policy rate. Money related Policy Decisions are given each substitute month in, July, September, November, January, March and May.</w:t>
      </w:r>
    </w:p>
    <w:p w:rsidR="00F65A43" w:rsidRPr="00721E65" w:rsidRDefault="00F65A43" w:rsidP="007D23B1">
      <w:pPr>
        <w:tabs>
          <w:tab w:val="right" w:pos="8307"/>
        </w:tabs>
        <w:spacing w:after="0"/>
        <w:jc w:val="both"/>
        <w:rPr>
          <w:rFonts w:ascii="Times New Roman" w:hAnsi="Times New Roman"/>
          <w:b/>
          <w:sz w:val="28"/>
          <w:szCs w:val="25"/>
        </w:rPr>
      </w:pPr>
    </w:p>
    <w:p w:rsidR="00F65A43" w:rsidRPr="00721E65" w:rsidRDefault="00F65A43" w:rsidP="007D23B1">
      <w:pPr>
        <w:tabs>
          <w:tab w:val="right" w:pos="8307"/>
        </w:tabs>
        <w:spacing w:after="0"/>
        <w:jc w:val="both"/>
        <w:rPr>
          <w:rFonts w:ascii="Times New Roman" w:hAnsi="Times New Roman"/>
          <w:b/>
          <w:sz w:val="28"/>
          <w:szCs w:val="25"/>
        </w:rPr>
      </w:pPr>
      <w:r w:rsidRPr="00721E65">
        <w:rPr>
          <w:rFonts w:ascii="Times New Roman" w:hAnsi="Times New Roman"/>
          <w:b/>
          <w:sz w:val="28"/>
          <w:szCs w:val="25"/>
        </w:rPr>
        <w:t>Quantitative tools of monetary policy</w:t>
      </w:r>
    </w:p>
    <w:p w:rsidR="00F65A43" w:rsidRPr="00721E65" w:rsidRDefault="00F65A43" w:rsidP="007D23B1">
      <w:pPr>
        <w:tabs>
          <w:tab w:val="right" w:pos="8307"/>
        </w:tabs>
        <w:spacing w:after="0"/>
        <w:jc w:val="both"/>
        <w:rPr>
          <w:rFonts w:ascii="Times New Roman" w:hAnsi="Times New Roman"/>
          <w:b/>
          <w:sz w:val="24"/>
        </w:rPr>
      </w:pPr>
    </w:p>
    <w:p w:rsidR="00D1696D" w:rsidRPr="00D1696D" w:rsidRDefault="00F65A43" w:rsidP="007D23B1">
      <w:pPr>
        <w:rPr>
          <w:rStyle w:val="Strong"/>
          <w:rFonts w:ascii="Times New Roman" w:hAnsi="Times New Roman"/>
          <w:b w:val="0"/>
          <w:sz w:val="24"/>
          <w:bdr w:val="none" w:sz="0" w:space="0" w:color="auto" w:frame="1"/>
          <w:shd w:val="clear" w:color="auto" w:fill="FFFFFF"/>
        </w:rPr>
      </w:pPr>
      <w:r w:rsidRPr="00D1696D">
        <w:rPr>
          <w:rStyle w:val="Strong"/>
          <w:rFonts w:ascii="Times New Roman" w:hAnsi="Times New Roman"/>
          <w:b w:val="0"/>
          <w:sz w:val="24"/>
          <w:bdr w:val="none" w:sz="0" w:space="0" w:color="auto" w:frame="1"/>
          <w:shd w:val="clear" w:color="auto" w:fill="FFFFFF"/>
        </w:rPr>
        <w:t xml:space="preserve">The instruments of Monetary Policy can be </w:t>
      </w:r>
      <w:r w:rsidR="00D1696D" w:rsidRPr="00D1696D">
        <w:rPr>
          <w:rStyle w:val="Strong"/>
          <w:rFonts w:ascii="Times New Roman" w:hAnsi="Times New Roman"/>
          <w:b w:val="0"/>
          <w:sz w:val="24"/>
          <w:bdr w:val="none" w:sz="0" w:space="0" w:color="auto" w:frame="1"/>
          <w:shd w:val="clear" w:color="auto" w:fill="FFFFFF"/>
        </w:rPr>
        <w:t xml:space="preserve">quantitative </w:t>
      </w:r>
      <w:r w:rsidR="00D1696D">
        <w:rPr>
          <w:rStyle w:val="Strong"/>
          <w:rFonts w:ascii="Times New Roman" w:hAnsi="Times New Roman"/>
          <w:b w:val="0"/>
          <w:sz w:val="24"/>
          <w:bdr w:val="none" w:sz="0" w:space="0" w:color="auto" w:frame="1"/>
          <w:shd w:val="clear" w:color="auto" w:fill="FFFFFF"/>
        </w:rPr>
        <w:t xml:space="preserve">or </w:t>
      </w:r>
      <w:r w:rsidR="00D1696D" w:rsidRPr="00D1696D">
        <w:rPr>
          <w:rStyle w:val="Strong"/>
          <w:rFonts w:ascii="Times New Roman" w:hAnsi="Times New Roman"/>
          <w:b w:val="0"/>
          <w:sz w:val="24"/>
          <w:bdr w:val="none" w:sz="0" w:space="0" w:color="auto" w:frame="1"/>
          <w:shd w:val="clear" w:color="auto" w:fill="FFFFFF"/>
        </w:rPr>
        <w:t>qualitative in nature</w:t>
      </w:r>
    </w:p>
    <w:p w:rsidR="00D1696D" w:rsidRDefault="00F65A43" w:rsidP="007D23B1">
      <w:pPr>
        <w:rPr>
          <w:rFonts w:ascii="Times New Roman" w:hAnsi="Times New Roman"/>
          <w:shd w:val="clear" w:color="auto" w:fill="FFFFFF"/>
        </w:rPr>
      </w:pPr>
      <w:r w:rsidRPr="00721E65">
        <w:rPr>
          <w:rFonts w:ascii="Times New Roman" w:hAnsi="Times New Roman"/>
          <w:shd w:val="clear" w:color="auto" w:fill="FFFFFF"/>
        </w:rPr>
        <w:t>Quantitative instruments include</w:t>
      </w:r>
    </w:p>
    <w:p w:rsidR="00D1696D" w:rsidRDefault="00D1696D" w:rsidP="007D23B1">
      <w:pPr>
        <w:pStyle w:val="ListParagraph"/>
        <w:numPr>
          <w:ilvl w:val="0"/>
          <w:numId w:val="4"/>
        </w:numPr>
        <w:rPr>
          <w:rFonts w:ascii="Times New Roman" w:hAnsi="Times New Roman"/>
          <w:shd w:val="clear" w:color="auto" w:fill="FFFFFF"/>
        </w:rPr>
      </w:pPr>
      <w:r w:rsidRPr="00D1696D">
        <w:rPr>
          <w:rFonts w:ascii="Times New Roman" w:hAnsi="Times New Roman"/>
          <w:shd w:val="clear" w:color="auto" w:fill="FFFFFF"/>
        </w:rPr>
        <w:t>V</w:t>
      </w:r>
      <w:r w:rsidR="00F65A43" w:rsidRPr="00D1696D">
        <w:rPr>
          <w:rFonts w:ascii="Times New Roman" w:hAnsi="Times New Roman"/>
          <w:shd w:val="clear" w:color="auto" w:fill="FFFFFF"/>
        </w:rPr>
        <w:t>ariations</w:t>
      </w:r>
      <w:r>
        <w:rPr>
          <w:rFonts w:ascii="Times New Roman" w:hAnsi="Times New Roman"/>
          <w:shd w:val="clear" w:color="auto" w:fill="FFFFFF"/>
        </w:rPr>
        <w:t xml:space="preserve"> in reserve ratio requirements</w:t>
      </w:r>
    </w:p>
    <w:p w:rsidR="00D1696D" w:rsidRDefault="00D1696D" w:rsidP="007D23B1">
      <w:pPr>
        <w:pStyle w:val="ListParagraph"/>
        <w:numPr>
          <w:ilvl w:val="0"/>
          <w:numId w:val="4"/>
        </w:numPr>
        <w:rPr>
          <w:rFonts w:ascii="Times New Roman" w:hAnsi="Times New Roman"/>
          <w:shd w:val="clear" w:color="auto" w:fill="FFFFFF"/>
        </w:rPr>
      </w:pPr>
      <w:r>
        <w:rPr>
          <w:rFonts w:ascii="Times New Roman" w:hAnsi="Times New Roman"/>
          <w:shd w:val="clear" w:color="auto" w:fill="FFFFFF"/>
        </w:rPr>
        <w:t xml:space="preserve">bank rate </w:t>
      </w:r>
    </w:p>
    <w:p w:rsidR="00F65A43" w:rsidRPr="00D1696D" w:rsidRDefault="00F65A43" w:rsidP="007D23B1">
      <w:pPr>
        <w:pStyle w:val="ListParagraph"/>
        <w:numPr>
          <w:ilvl w:val="0"/>
          <w:numId w:val="4"/>
        </w:numPr>
        <w:rPr>
          <w:rFonts w:ascii="Times New Roman" w:hAnsi="Times New Roman"/>
          <w:shd w:val="clear" w:color="auto" w:fill="FFFFFF"/>
        </w:rPr>
      </w:pPr>
      <w:r w:rsidRPr="00D1696D">
        <w:rPr>
          <w:rFonts w:ascii="Times New Roman" w:hAnsi="Times New Roman"/>
          <w:shd w:val="clear" w:color="auto" w:fill="FFFFFF"/>
        </w:rPr>
        <w:t>Open Market Operations.</w:t>
      </w:r>
    </w:p>
    <w:p w:rsidR="00F45EE1" w:rsidRPr="00721E65" w:rsidRDefault="00F65A43" w:rsidP="007D23B1">
      <w:pPr>
        <w:rPr>
          <w:rFonts w:ascii="Times New Roman" w:hAnsi="Times New Roman"/>
          <w:shd w:val="clear" w:color="auto" w:fill="FFFFFF"/>
        </w:rPr>
      </w:pPr>
      <w:r w:rsidRPr="00721E65">
        <w:rPr>
          <w:rStyle w:val="Strong"/>
          <w:rFonts w:ascii="Times New Roman" w:hAnsi="Times New Roman"/>
          <w:bdr w:val="none" w:sz="0" w:space="0" w:color="auto" w:frame="1"/>
          <w:shd w:val="clear" w:color="auto" w:fill="FFFFFF"/>
        </w:rPr>
        <w:t>1. Variations in Reserve Ratio Requirements:</w:t>
      </w:r>
      <w:r w:rsidR="00D1696D">
        <w:rPr>
          <w:rStyle w:val="Strong"/>
          <w:rFonts w:ascii="Times New Roman" w:hAnsi="Times New Roman"/>
          <w:bdr w:val="none" w:sz="0" w:space="0" w:color="auto" w:frame="1"/>
          <w:shd w:val="clear" w:color="auto" w:fill="FFFFFF"/>
        </w:rPr>
        <w:br/>
        <w:t xml:space="preserve"> </w:t>
      </w:r>
      <w:r w:rsidR="00D1696D">
        <w:rPr>
          <w:rStyle w:val="Strong"/>
          <w:rFonts w:ascii="Times New Roman" w:hAnsi="Times New Roman"/>
          <w:bdr w:val="none" w:sz="0" w:space="0" w:color="auto" w:frame="1"/>
          <w:shd w:val="clear" w:color="auto" w:fill="FFFFFF"/>
        </w:rPr>
        <w:tab/>
      </w:r>
      <w:r w:rsidR="00D1696D" w:rsidRPr="00D1696D">
        <w:rPr>
          <w:rFonts w:ascii="Times New Roman" w:hAnsi="Times New Roman"/>
          <w:sz w:val="24"/>
          <w:shd w:val="clear" w:color="auto" w:fill="FFFFFF"/>
        </w:rPr>
        <w:t>The RBI mandates it for commercial bank to keep a specific level of percentage of deposits Central Bank. There incorporate cash reserve and liquidity reserves. The basic or minimum cash reserve ration or proportion fixed by RBI is called Cash Reserve Ratio. The basic and minimum liquidity hold proportion fixed by RBI is called Statutory Liquidity Ratio (SLR).</w:t>
      </w:r>
    </w:p>
    <w:p w:rsidR="000008C4" w:rsidRDefault="00F45EE1" w:rsidP="007D23B1">
      <w:pPr>
        <w:pStyle w:val="NormalWeb"/>
        <w:spacing w:after="0" w:line="276" w:lineRule="auto"/>
        <w:textAlignment w:val="baseline"/>
      </w:pPr>
      <w:r w:rsidRPr="000008C4">
        <w:rPr>
          <w:rStyle w:val="Strong"/>
          <w:sz w:val="28"/>
          <w:bdr w:val="none" w:sz="0" w:space="0" w:color="auto" w:frame="1"/>
        </w:rPr>
        <w:lastRenderedPageBreak/>
        <w:t>Changes in Bank Rate:</w:t>
      </w:r>
      <w:r w:rsidRPr="000008C4">
        <w:rPr>
          <w:sz w:val="28"/>
        </w:rPr>
        <w:t> </w:t>
      </w:r>
      <w:r w:rsidR="00D1696D">
        <w:br/>
        <w:t xml:space="preserve"> </w:t>
      </w:r>
      <w:r w:rsidR="00D1696D">
        <w:tab/>
      </w:r>
      <w:r w:rsidR="000008C4">
        <w:t>The rate of interest at which the national bank loans cash to business banks is called bank rate or discount rate. An adjustment or change in bank rate influences cash and credit supply. On the off chance that the bank rate is expanded, borrowings by business gets costly, which in turn increases the lending rate. It is called hardening of interest rates and discourages retail borrowings.</w:t>
      </w:r>
      <w:r w:rsidR="000008C4">
        <w:br/>
        <w:t>Likewise, decline in bank rate, reduce the expense and cost of borrowing for commercial banks. This declines and decreases loaning rates and encourages public borrowing with eases credit supply in the market.</w:t>
      </w:r>
    </w:p>
    <w:p w:rsidR="000008C4" w:rsidRDefault="000008C4" w:rsidP="007D23B1">
      <w:pPr>
        <w:pStyle w:val="NormalWeb"/>
        <w:spacing w:before="0" w:beforeAutospacing="0" w:after="0" w:afterAutospacing="0" w:line="276" w:lineRule="auto"/>
        <w:textAlignment w:val="baseline"/>
      </w:pPr>
    </w:p>
    <w:p w:rsidR="00F45EE1" w:rsidRPr="00721E65" w:rsidRDefault="00F45EE1" w:rsidP="007D23B1">
      <w:pPr>
        <w:pStyle w:val="NormalWeb"/>
        <w:spacing w:before="0" w:beforeAutospacing="0" w:after="0" w:afterAutospacing="0" w:line="276" w:lineRule="auto"/>
        <w:textAlignment w:val="baseline"/>
        <w:rPr>
          <w:b/>
          <w:bCs/>
          <w:bdr w:val="none" w:sz="0" w:space="0" w:color="auto" w:frame="1"/>
          <w:shd w:val="clear" w:color="auto" w:fill="FFFFFF"/>
        </w:rPr>
      </w:pPr>
      <w:r w:rsidRPr="00721E65">
        <w:rPr>
          <w:rStyle w:val="Strong"/>
          <w:bdr w:val="none" w:sz="0" w:space="0" w:color="auto" w:frame="1"/>
          <w:shd w:val="clear" w:color="auto" w:fill="FFFFFF"/>
        </w:rPr>
        <w:t>Open Market Operations (OMOs):</w:t>
      </w:r>
      <w:r w:rsidRPr="00721E65">
        <w:rPr>
          <w:rStyle w:val="Strong"/>
          <w:bdr w:val="none" w:sz="0" w:space="0" w:color="auto" w:frame="1"/>
          <w:shd w:val="clear" w:color="auto" w:fill="FFFFFF"/>
        </w:rPr>
        <w:br/>
        <w:t xml:space="preserve"> </w:t>
      </w:r>
      <w:r w:rsidRPr="00721E65">
        <w:rPr>
          <w:rStyle w:val="Strong"/>
          <w:bdr w:val="none" w:sz="0" w:space="0" w:color="auto" w:frame="1"/>
          <w:shd w:val="clear" w:color="auto" w:fill="FFFFFF"/>
        </w:rPr>
        <w:tab/>
      </w:r>
      <w:r w:rsidRPr="00721E65">
        <w:rPr>
          <w:shd w:val="clear" w:color="auto" w:fill="FFFFFF"/>
        </w:rPr>
        <w:t> </w:t>
      </w:r>
      <w:r w:rsidR="009F31E2" w:rsidRPr="009F31E2">
        <w:rPr>
          <w:shd w:val="clear" w:color="auto" w:fill="FFFFFF"/>
        </w:rPr>
        <w:t xml:space="preserve">Open market operations refers to purchasing and selling of state securities by RBI. The financial institution such that central bank sells securities to commercial banks and public. This increases money supply with RBI and at the identical time reduces deposits with depository financial institution (commercial bank). This also </w:t>
      </w:r>
      <w:r w:rsidR="00CB7153" w:rsidRPr="009F31E2">
        <w:rPr>
          <w:shd w:val="clear" w:color="auto" w:fill="FFFFFF"/>
        </w:rPr>
        <w:t>decreases</w:t>
      </w:r>
      <w:r w:rsidR="00CB7153">
        <w:rPr>
          <w:shd w:val="clear" w:color="auto" w:fill="FFFFFF"/>
        </w:rPr>
        <w:t xml:space="preserve"> credit c</w:t>
      </w:r>
      <w:r w:rsidR="009F31E2" w:rsidRPr="009F31E2">
        <w:rPr>
          <w:shd w:val="clear" w:color="auto" w:fill="FFFFFF"/>
        </w:rPr>
        <w:t>reation capacity of commercial banks.</w:t>
      </w:r>
    </w:p>
    <w:p w:rsidR="000008C4" w:rsidRDefault="006B7383" w:rsidP="007D23B1">
      <w:pPr>
        <w:rPr>
          <w:rFonts w:ascii="Times New Roman" w:hAnsi="Times New Roman"/>
          <w:b/>
          <w:sz w:val="36"/>
          <w:szCs w:val="25"/>
        </w:rPr>
      </w:pPr>
      <w:r>
        <w:rPr>
          <w:rFonts w:ascii="Times New Roman" w:hAnsi="Times New Roman"/>
          <w:b/>
          <w:sz w:val="36"/>
          <w:szCs w:val="25"/>
        </w:rPr>
        <w:t xml:space="preserve">    ------------------------------------------------------</w:t>
      </w:r>
    </w:p>
    <w:p w:rsidR="00F45EE1" w:rsidRPr="000008C4" w:rsidRDefault="006B7383" w:rsidP="007D23B1">
      <w:pPr>
        <w:rPr>
          <w:rFonts w:ascii="Times New Roman" w:hAnsi="Times New Roman"/>
          <w:b/>
          <w:sz w:val="28"/>
          <w:szCs w:val="28"/>
        </w:rPr>
      </w:pPr>
      <w:r>
        <w:rPr>
          <w:rFonts w:ascii="Times New Roman" w:hAnsi="Times New Roman"/>
          <w:b/>
          <w:sz w:val="28"/>
          <w:szCs w:val="28"/>
        </w:rPr>
        <w:t>Q1.</w:t>
      </w:r>
      <w:r w:rsidR="00F45EE1" w:rsidRPr="000008C4">
        <w:rPr>
          <w:rFonts w:ascii="Times New Roman" w:hAnsi="Times New Roman"/>
          <w:b/>
          <w:sz w:val="28"/>
          <w:szCs w:val="28"/>
        </w:rPr>
        <w:t>PART B</w:t>
      </w:r>
      <w:r w:rsidR="00F45EE1" w:rsidRPr="000008C4">
        <w:rPr>
          <w:rFonts w:ascii="Times New Roman" w:hAnsi="Times New Roman"/>
          <w:b/>
          <w:sz w:val="28"/>
          <w:szCs w:val="28"/>
        </w:rPr>
        <w:br/>
        <w:t xml:space="preserve"> What is the implication of Monetary Policy 2020 on our business activities in the recent pandemic situation?</w:t>
      </w:r>
    </w:p>
    <w:p w:rsidR="00F45EE1" w:rsidRPr="00721E65" w:rsidRDefault="00F45EE1" w:rsidP="007D23B1">
      <w:pPr>
        <w:spacing w:after="0"/>
        <w:rPr>
          <w:rFonts w:ascii="Times New Roman" w:hAnsi="Times New Roman"/>
          <w:sz w:val="24"/>
          <w:szCs w:val="24"/>
        </w:rPr>
      </w:pPr>
      <w:r w:rsidRPr="000008C4">
        <w:rPr>
          <w:rFonts w:ascii="Times New Roman" w:hAnsi="Times New Roman"/>
          <w:b/>
          <w:sz w:val="28"/>
          <w:szCs w:val="28"/>
        </w:rPr>
        <w:t>ANS:</w:t>
      </w:r>
      <w:r w:rsidRPr="00721E65">
        <w:rPr>
          <w:rFonts w:ascii="Times New Roman" w:hAnsi="Times New Roman"/>
          <w:sz w:val="25"/>
          <w:szCs w:val="25"/>
        </w:rPr>
        <w:br/>
        <w:t xml:space="preserve"> </w:t>
      </w:r>
      <w:r w:rsidRPr="00721E65">
        <w:rPr>
          <w:rFonts w:ascii="Times New Roman" w:hAnsi="Times New Roman"/>
          <w:sz w:val="24"/>
          <w:szCs w:val="24"/>
        </w:rPr>
        <w:t>Pakistan's financial development force may in any case stay positive yet from the new financial year, the nation needs a significant move in money related and monetary arrangements to counterbalance the unfavorable effect of coronavirus (Covid-19) on business and other factor, the Planning Commission advised a top legal body to take some changes in monetary policy.</w:t>
      </w:r>
    </w:p>
    <w:p w:rsidR="00F45EE1" w:rsidRPr="00721E65" w:rsidRDefault="00F45EE1" w:rsidP="007D23B1">
      <w:pPr>
        <w:spacing w:after="405"/>
        <w:textAlignment w:val="baseline"/>
        <w:rPr>
          <w:rFonts w:ascii="Times New Roman" w:hAnsi="Times New Roman"/>
          <w:spacing w:val="2"/>
          <w:sz w:val="24"/>
          <w:szCs w:val="24"/>
        </w:rPr>
      </w:pPr>
      <w:r w:rsidRPr="00721E65">
        <w:rPr>
          <w:rFonts w:ascii="Times New Roman" w:hAnsi="Times New Roman"/>
          <w:spacing w:val="2"/>
          <w:sz w:val="24"/>
          <w:szCs w:val="24"/>
        </w:rPr>
        <w:t xml:space="preserve"> Finance Adviser Dr Abdul Hafeez Shaikh said: “The public sector spending should be used as a tool to stimulate economic grow</w:t>
      </w:r>
      <w:r w:rsidR="006A341B">
        <w:rPr>
          <w:rFonts w:ascii="Times New Roman" w:hAnsi="Times New Roman"/>
          <w:spacing w:val="2"/>
          <w:sz w:val="24"/>
          <w:szCs w:val="24"/>
        </w:rPr>
        <w:t>th and spurt consumer spending.</w:t>
      </w:r>
      <w:r w:rsidR="006A341B">
        <w:rPr>
          <w:rFonts w:ascii="Times New Roman" w:hAnsi="Times New Roman"/>
          <w:spacing w:val="2"/>
          <w:sz w:val="24"/>
          <w:szCs w:val="24"/>
        </w:rPr>
        <w:br/>
        <w:t xml:space="preserve">             </w:t>
      </w:r>
      <w:r w:rsidR="006A341B">
        <w:rPr>
          <w:rFonts w:ascii="Times New Roman" w:hAnsi="Times New Roman"/>
          <w:spacing w:val="2"/>
          <w:sz w:val="24"/>
          <w:szCs w:val="24"/>
        </w:rPr>
        <w:tab/>
      </w:r>
      <w:r w:rsidRPr="00721E65">
        <w:rPr>
          <w:rFonts w:ascii="Times New Roman" w:hAnsi="Times New Roman"/>
          <w:spacing w:val="2"/>
          <w:sz w:val="24"/>
          <w:szCs w:val="24"/>
        </w:rPr>
        <w:t xml:space="preserve">The monetary policy which is design by government in Covid-19 crises which help the lower business and also help full for economy. The commission told the significant level gathering that Pakistan's economy may at present register positive development in the scope of 1.5%. But in case of complete lockdown in upcoming months, the economy may contract or may stop or </w:t>
      </w:r>
      <w:r w:rsidR="006A341B">
        <w:rPr>
          <w:rFonts w:ascii="Times New Roman" w:hAnsi="Times New Roman"/>
          <w:spacing w:val="2"/>
          <w:sz w:val="24"/>
          <w:szCs w:val="24"/>
        </w:rPr>
        <w:t>Pakistan economy make shutdown.</w:t>
      </w:r>
      <w:r w:rsidR="006A341B">
        <w:rPr>
          <w:rFonts w:ascii="Times New Roman" w:hAnsi="Times New Roman"/>
          <w:spacing w:val="2"/>
          <w:sz w:val="24"/>
          <w:szCs w:val="24"/>
        </w:rPr>
        <w:br/>
        <w:t xml:space="preserve"> </w:t>
      </w:r>
      <w:r w:rsidR="006A341B">
        <w:rPr>
          <w:rFonts w:ascii="Times New Roman" w:hAnsi="Times New Roman"/>
          <w:spacing w:val="2"/>
          <w:sz w:val="24"/>
          <w:szCs w:val="24"/>
        </w:rPr>
        <w:tab/>
      </w:r>
      <w:r w:rsidR="006A341B">
        <w:rPr>
          <w:rFonts w:ascii="Times New Roman" w:hAnsi="Times New Roman"/>
          <w:spacing w:val="2"/>
          <w:sz w:val="24"/>
          <w:szCs w:val="24"/>
        </w:rPr>
        <w:tab/>
      </w:r>
      <w:r w:rsidRPr="00721E65">
        <w:rPr>
          <w:rFonts w:ascii="Times New Roman" w:hAnsi="Times New Roman"/>
          <w:spacing w:val="2"/>
          <w:sz w:val="24"/>
          <w:szCs w:val="24"/>
        </w:rPr>
        <w:t xml:space="preserve">It also sees inflation rate at 6% in the next fiscal year, which is lower than the State Bank of Pakistan and the International Monetary Fund objections and provides room for further cut in the interest rate, which was also very supportable for business because they can take loans at low interest rate and give back at easy installment. It’s may also help for economy to growth and became in stable position. </w:t>
      </w:r>
    </w:p>
    <w:p w:rsidR="006A341B" w:rsidRDefault="00F45EE1" w:rsidP="007D23B1">
      <w:pPr>
        <w:spacing w:after="405"/>
        <w:textAlignment w:val="baseline"/>
        <w:rPr>
          <w:rFonts w:ascii="Times New Roman" w:hAnsi="Times New Roman"/>
          <w:spacing w:val="2"/>
          <w:sz w:val="24"/>
          <w:szCs w:val="24"/>
        </w:rPr>
      </w:pPr>
      <w:r w:rsidRPr="00721E65">
        <w:rPr>
          <w:rFonts w:ascii="Times New Roman" w:hAnsi="Times New Roman"/>
          <w:spacing w:val="2"/>
          <w:sz w:val="24"/>
          <w:szCs w:val="24"/>
        </w:rPr>
        <w:lastRenderedPageBreak/>
        <w:t>The policy set by MFPCB which may also helpful for the business and private sectors. MFPCB is a legal discussion that has been set up under a demonstration of parliament to organize money related, monetary and exchange strategies of Pakistan. Be that as it may, this month, the SBP prescribed the government to cancel the board, provoking the account counsel to pressur</w:t>
      </w:r>
      <w:r w:rsidR="006A341B">
        <w:rPr>
          <w:rFonts w:ascii="Times New Roman" w:hAnsi="Times New Roman"/>
          <w:spacing w:val="2"/>
          <w:sz w:val="24"/>
          <w:szCs w:val="24"/>
        </w:rPr>
        <w:t>e the significance of the body.</w:t>
      </w:r>
      <w:r w:rsidR="006A341B">
        <w:rPr>
          <w:rFonts w:ascii="Times New Roman" w:hAnsi="Times New Roman"/>
          <w:spacing w:val="2"/>
          <w:sz w:val="24"/>
          <w:szCs w:val="24"/>
        </w:rPr>
        <w:br/>
        <w:t xml:space="preserve"> </w:t>
      </w:r>
      <w:r w:rsidR="006A341B">
        <w:rPr>
          <w:rFonts w:ascii="Times New Roman" w:hAnsi="Times New Roman"/>
          <w:spacing w:val="2"/>
          <w:sz w:val="24"/>
          <w:szCs w:val="24"/>
        </w:rPr>
        <w:tab/>
      </w:r>
      <w:r w:rsidR="006A341B">
        <w:rPr>
          <w:rFonts w:ascii="Times New Roman" w:hAnsi="Times New Roman"/>
          <w:spacing w:val="2"/>
          <w:sz w:val="24"/>
          <w:szCs w:val="24"/>
        </w:rPr>
        <w:tab/>
      </w:r>
      <w:r w:rsidRPr="00721E65">
        <w:rPr>
          <w:rFonts w:ascii="Times New Roman" w:hAnsi="Times New Roman"/>
          <w:sz w:val="24"/>
          <w:szCs w:val="24"/>
        </w:rPr>
        <w:t xml:space="preserve">Best monetary policy Pakistan’s economy is still register positive, growth in the range of 1.5% even if partial lockdown </w:t>
      </w:r>
      <w:r w:rsidR="00F12E00" w:rsidRPr="00721E65">
        <w:rPr>
          <w:rFonts w:ascii="Times New Roman" w:hAnsi="Times New Roman"/>
          <w:sz w:val="24"/>
          <w:szCs w:val="24"/>
        </w:rPr>
        <w:t>conditions at</w:t>
      </w:r>
      <w:r w:rsidRPr="00721E65">
        <w:rPr>
          <w:rFonts w:ascii="Times New Roman" w:hAnsi="Times New Roman"/>
          <w:sz w:val="24"/>
          <w:szCs w:val="24"/>
        </w:rPr>
        <w:t xml:space="preserve"> June. All of these institutions have projected up to 1.6% contraction in economic growth in this fiscal year. Accommodative financial and money related approaches received by the legislature will be useful in animating monetary exercises. Both intrigue and deftly have been vexed and the overall population is standing up to peril evasion which influencing the business advantage and having no balance of trade.</w:t>
      </w:r>
    </w:p>
    <w:p w:rsidR="00F45EE1" w:rsidRPr="006A341B" w:rsidRDefault="00F45EE1" w:rsidP="007D23B1">
      <w:pPr>
        <w:spacing w:after="405"/>
        <w:textAlignment w:val="baseline"/>
        <w:rPr>
          <w:rFonts w:ascii="Times New Roman" w:hAnsi="Times New Roman"/>
          <w:spacing w:val="2"/>
          <w:sz w:val="24"/>
          <w:szCs w:val="24"/>
        </w:rPr>
      </w:pPr>
      <w:r w:rsidRPr="00721E65">
        <w:rPr>
          <w:rFonts w:ascii="Times New Roman" w:hAnsi="Times New Roman"/>
          <w:spacing w:val="2"/>
          <w:sz w:val="24"/>
          <w:szCs w:val="24"/>
        </w:rPr>
        <w:t xml:space="preserve"> The finance ministry has recommended only Rs</w:t>
      </w:r>
      <w:r w:rsidR="00F12E00" w:rsidRPr="00721E65">
        <w:rPr>
          <w:rFonts w:ascii="Times New Roman" w:hAnsi="Times New Roman"/>
          <w:spacing w:val="2"/>
          <w:sz w:val="24"/>
          <w:szCs w:val="24"/>
        </w:rPr>
        <w:t xml:space="preserve">600 billion for the PSDP in the </w:t>
      </w:r>
      <w:r w:rsidRPr="00721E65">
        <w:rPr>
          <w:rFonts w:ascii="Times New Roman" w:hAnsi="Times New Roman"/>
          <w:spacing w:val="2"/>
          <w:sz w:val="24"/>
          <w:szCs w:val="24"/>
        </w:rPr>
        <w:t xml:space="preserve">budget, which the planning ministry wants to be increased substantially to boost economic growth Which may give some boost to the business, because when economy is stable business are run very smoothly and earn good profit margin. </w:t>
      </w:r>
      <w:r w:rsidR="006A341B">
        <w:rPr>
          <w:rFonts w:ascii="Times New Roman" w:hAnsi="Times New Roman"/>
          <w:spacing w:val="2"/>
          <w:sz w:val="24"/>
          <w:szCs w:val="24"/>
        </w:rPr>
        <w:br/>
        <w:t xml:space="preserve">    </w:t>
      </w:r>
      <w:r w:rsidRPr="00721E65">
        <w:rPr>
          <w:rFonts w:ascii="Times New Roman" w:hAnsi="Times New Roman"/>
          <w:spacing w:val="2"/>
          <w:sz w:val="24"/>
          <w:szCs w:val="24"/>
        </w:rPr>
        <w:t xml:space="preserve">The SBP has set the interest rate at 9% give relief to small business and large organization because they take loans with lower interest and run their business but various bodies and independent economists have called to further reduce it to at least 7% because due to lockdown </w:t>
      </w:r>
      <w:r w:rsidR="009D1689" w:rsidRPr="00721E65">
        <w:rPr>
          <w:rFonts w:ascii="Times New Roman" w:hAnsi="Times New Roman"/>
          <w:spacing w:val="2"/>
          <w:sz w:val="24"/>
          <w:szCs w:val="24"/>
        </w:rPr>
        <w:t xml:space="preserve">in last some month, </w:t>
      </w:r>
      <w:r w:rsidRPr="00721E65">
        <w:rPr>
          <w:rFonts w:ascii="Times New Roman" w:hAnsi="Times New Roman"/>
          <w:spacing w:val="2"/>
          <w:sz w:val="24"/>
          <w:szCs w:val="24"/>
        </w:rPr>
        <w:t xml:space="preserve">many business also at Finish stage government should give them more </w:t>
      </w:r>
      <w:r w:rsidR="006A341B" w:rsidRPr="00721E65">
        <w:rPr>
          <w:rFonts w:ascii="Times New Roman" w:hAnsi="Times New Roman"/>
          <w:spacing w:val="2"/>
          <w:sz w:val="24"/>
          <w:szCs w:val="24"/>
        </w:rPr>
        <w:t>relief. The</w:t>
      </w:r>
      <w:r w:rsidRPr="00721E65">
        <w:rPr>
          <w:rFonts w:ascii="Times New Roman" w:hAnsi="Times New Roman"/>
          <w:spacing w:val="2"/>
          <w:sz w:val="24"/>
          <w:szCs w:val="24"/>
        </w:rPr>
        <w:t xml:space="preserve"> economy manager decided that the concerned government departments would further firm up their numbers. The participants emphasized the need for having in-house macroeconomic modelling capacity of stakeholder.</w:t>
      </w:r>
    </w:p>
    <w:p w:rsidR="00F45EE1" w:rsidRPr="00721E65" w:rsidRDefault="00F45EE1" w:rsidP="007D23B1">
      <w:pPr>
        <w:spacing w:after="405"/>
        <w:textAlignment w:val="baseline"/>
        <w:rPr>
          <w:rFonts w:ascii="Times New Roman" w:hAnsi="Times New Roman"/>
          <w:spacing w:val="2"/>
          <w:sz w:val="24"/>
          <w:szCs w:val="24"/>
        </w:rPr>
      </w:pPr>
      <w:r w:rsidRPr="00721E65">
        <w:rPr>
          <w:rFonts w:ascii="Times New Roman" w:hAnsi="Times New Roman"/>
          <w:spacing w:val="2"/>
          <w:sz w:val="24"/>
          <w:szCs w:val="24"/>
        </w:rPr>
        <w:t>The finance secretary set first time primary balance posted surplus of Rs104 billion or 0.2% of the gross domestic product during July-March period of this fiscal year as compared to a deficit of Rs474 billion or 1.2 % of the GDP during the same period last year to stable the eco</w:t>
      </w:r>
      <w:r w:rsidR="006A341B">
        <w:rPr>
          <w:rFonts w:ascii="Times New Roman" w:hAnsi="Times New Roman"/>
          <w:spacing w:val="2"/>
          <w:sz w:val="24"/>
          <w:szCs w:val="24"/>
        </w:rPr>
        <w:t xml:space="preserve">nomy and business of Pakistan. </w:t>
      </w:r>
      <w:r w:rsidRPr="00721E65">
        <w:rPr>
          <w:rFonts w:ascii="Times New Roman" w:hAnsi="Times New Roman"/>
          <w:spacing w:val="2"/>
          <w:sz w:val="24"/>
          <w:szCs w:val="24"/>
        </w:rPr>
        <w:t>For the following monetary year, the IMF needs financial relief of Rs1.2 trillion or 2.5% of the GDP, which may additionally smother the economic growth.</w:t>
      </w:r>
    </w:p>
    <w:p w:rsidR="00F45EE1" w:rsidRDefault="00F45EE1" w:rsidP="007D23B1">
      <w:pPr>
        <w:spacing w:after="405"/>
        <w:textAlignment w:val="baseline"/>
        <w:rPr>
          <w:rFonts w:ascii="Times New Roman" w:hAnsi="Times New Roman"/>
          <w:spacing w:val="2"/>
          <w:sz w:val="24"/>
          <w:szCs w:val="24"/>
        </w:rPr>
      </w:pPr>
      <w:r w:rsidRPr="00721E65">
        <w:rPr>
          <w:rFonts w:ascii="Times New Roman" w:hAnsi="Times New Roman"/>
          <w:spacing w:val="2"/>
          <w:sz w:val="24"/>
          <w:szCs w:val="24"/>
        </w:rPr>
        <w:t>The pandemic has brought different difficulties for Pakistan's economy</w:t>
      </w:r>
      <w:r w:rsidR="00A83C1B" w:rsidRPr="00721E65">
        <w:rPr>
          <w:rFonts w:ascii="Times New Roman" w:hAnsi="Times New Roman"/>
          <w:spacing w:val="2"/>
          <w:sz w:val="24"/>
          <w:szCs w:val="24"/>
        </w:rPr>
        <w:t>. Prior to Covid-1</w:t>
      </w:r>
      <w:r w:rsidRPr="00721E65">
        <w:rPr>
          <w:rFonts w:ascii="Times New Roman" w:hAnsi="Times New Roman"/>
          <w:spacing w:val="2"/>
          <w:sz w:val="24"/>
          <w:szCs w:val="24"/>
        </w:rPr>
        <w:t xml:space="preserve">9, the GDP growth was estimated at 3.24% for 2019-20 and after the pandemic, it may decline significantly which may affect business and economy as </w:t>
      </w:r>
      <w:r w:rsidR="00BE1203" w:rsidRPr="00721E65">
        <w:rPr>
          <w:rFonts w:ascii="Times New Roman" w:hAnsi="Times New Roman"/>
          <w:spacing w:val="2"/>
          <w:sz w:val="24"/>
          <w:szCs w:val="24"/>
        </w:rPr>
        <w:t>well. The</w:t>
      </w:r>
      <w:r w:rsidRPr="00721E65">
        <w:rPr>
          <w:rFonts w:ascii="Times New Roman" w:hAnsi="Times New Roman"/>
          <w:spacing w:val="2"/>
          <w:sz w:val="24"/>
          <w:szCs w:val="24"/>
        </w:rPr>
        <w:t xml:space="preserve"> national bank has given upgrade to the economy through a cut in the approach rate and expanding amount of cash by infus</w:t>
      </w:r>
      <w:r w:rsidR="006A341B">
        <w:rPr>
          <w:rFonts w:ascii="Times New Roman" w:hAnsi="Times New Roman"/>
          <w:spacing w:val="2"/>
          <w:sz w:val="24"/>
          <w:szCs w:val="24"/>
        </w:rPr>
        <w:t>ing extra liquidity.</w:t>
      </w:r>
      <w:r w:rsidR="006A341B">
        <w:rPr>
          <w:rFonts w:ascii="Times New Roman" w:hAnsi="Times New Roman"/>
          <w:spacing w:val="2"/>
          <w:sz w:val="24"/>
          <w:szCs w:val="24"/>
        </w:rPr>
        <w:br/>
        <w:t xml:space="preserve"> </w:t>
      </w:r>
      <w:r w:rsidR="006A341B">
        <w:rPr>
          <w:rFonts w:ascii="Times New Roman" w:hAnsi="Times New Roman"/>
          <w:spacing w:val="2"/>
          <w:sz w:val="24"/>
          <w:szCs w:val="24"/>
        </w:rPr>
        <w:tab/>
      </w:r>
      <w:r w:rsidRPr="00721E65">
        <w:rPr>
          <w:rFonts w:ascii="Times New Roman" w:hAnsi="Times New Roman"/>
          <w:spacing w:val="2"/>
          <w:sz w:val="24"/>
          <w:szCs w:val="24"/>
        </w:rPr>
        <w:t xml:space="preserve">Due to Covid-19 Imports will fall to $42 billion — $11.6 billion lower than estimates – mainly due to decline in international commodity and oil prices. There is a danger of decrease </w:t>
      </w:r>
      <w:r w:rsidRPr="00721E65">
        <w:rPr>
          <w:rFonts w:ascii="Times New Roman" w:hAnsi="Times New Roman"/>
          <w:spacing w:val="2"/>
          <w:sz w:val="24"/>
          <w:szCs w:val="24"/>
        </w:rPr>
        <w:lastRenderedPageBreak/>
        <w:t>in settlements too.</w:t>
      </w:r>
      <w:r w:rsidR="00C77342" w:rsidRPr="00721E65">
        <w:rPr>
          <w:rFonts w:ascii="Times New Roman" w:hAnsi="Times New Roman"/>
          <w:spacing w:val="2"/>
          <w:sz w:val="24"/>
          <w:szCs w:val="24"/>
        </w:rPr>
        <w:t xml:space="preserve"> </w:t>
      </w:r>
      <w:r w:rsidRPr="00721E65">
        <w:rPr>
          <w:rFonts w:ascii="Times New Roman" w:hAnsi="Times New Roman"/>
          <w:spacing w:val="2"/>
          <w:sz w:val="24"/>
          <w:szCs w:val="24"/>
        </w:rPr>
        <w:t>Decrease in trade also impact on business but oil price decrease by government which may help the organization to cut expense cost and increase their profit.</w:t>
      </w:r>
    </w:p>
    <w:p w:rsidR="006A341B" w:rsidRPr="00721E65" w:rsidRDefault="006A341B" w:rsidP="007D23B1">
      <w:pPr>
        <w:pBdr>
          <w:bottom w:val="double" w:sz="6" w:space="1" w:color="auto"/>
        </w:pBdr>
        <w:spacing w:after="405"/>
        <w:textAlignment w:val="baseline"/>
        <w:rPr>
          <w:rFonts w:ascii="Times New Roman" w:hAnsi="Times New Roman"/>
          <w:spacing w:val="2"/>
          <w:sz w:val="24"/>
          <w:szCs w:val="24"/>
        </w:rPr>
      </w:pPr>
    </w:p>
    <w:p w:rsidR="006A341B" w:rsidRDefault="006A341B" w:rsidP="007D23B1">
      <w:pPr>
        <w:rPr>
          <w:rFonts w:ascii="Times New Roman" w:hAnsi="Times New Roman"/>
          <w:shd w:val="clear" w:color="auto" w:fill="FFFFFF"/>
        </w:rPr>
      </w:pPr>
    </w:p>
    <w:p w:rsidR="00AB0B2A" w:rsidRPr="00FE7433" w:rsidRDefault="00BE1203" w:rsidP="007D23B1">
      <w:pPr>
        <w:rPr>
          <w:rFonts w:ascii="Times New Roman" w:hAnsi="Times New Roman"/>
          <w:b/>
          <w:sz w:val="28"/>
          <w:szCs w:val="28"/>
        </w:rPr>
      </w:pPr>
      <w:r w:rsidRPr="00FE7433">
        <w:rPr>
          <w:rFonts w:ascii="Times New Roman" w:hAnsi="Times New Roman"/>
          <w:b/>
          <w:sz w:val="28"/>
          <w:szCs w:val="28"/>
          <w:shd w:val="clear" w:color="auto" w:fill="FFFFFF"/>
        </w:rPr>
        <w:t>QUSTION NO 2</w:t>
      </w:r>
      <w:r w:rsidRPr="00FE7433">
        <w:rPr>
          <w:rFonts w:ascii="Times New Roman" w:hAnsi="Times New Roman"/>
          <w:b/>
          <w:sz w:val="28"/>
          <w:szCs w:val="28"/>
          <w:shd w:val="clear" w:color="auto" w:fill="FFFFFF"/>
        </w:rPr>
        <w:br/>
        <w:t xml:space="preserve"> PART –A </w:t>
      </w:r>
      <w:r w:rsidRPr="00FE7433">
        <w:rPr>
          <w:rFonts w:ascii="Times New Roman" w:hAnsi="Times New Roman"/>
          <w:b/>
          <w:sz w:val="28"/>
          <w:szCs w:val="28"/>
          <w:shd w:val="clear" w:color="auto" w:fill="FFFFFF"/>
        </w:rPr>
        <w:br/>
        <w:t xml:space="preserve"> </w:t>
      </w:r>
      <w:r w:rsidRPr="00FE7433">
        <w:rPr>
          <w:rFonts w:ascii="Times New Roman" w:hAnsi="Times New Roman"/>
          <w:b/>
          <w:sz w:val="28"/>
          <w:szCs w:val="28"/>
          <w:shd w:val="clear" w:color="auto" w:fill="FFFFFF"/>
        </w:rPr>
        <w:tab/>
        <w:t>what</w:t>
      </w:r>
      <w:r w:rsidRPr="00FE7433">
        <w:rPr>
          <w:rFonts w:ascii="Times New Roman" w:hAnsi="Times New Roman"/>
          <w:b/>
          <w:sz w:val="28"/>
          <w:szCs w:val="28"/>
        </w:rPr>
        <w:t xml:space="preserve"> is Interest rate? Differentiate between nominal and real interest rate?</w:t>
      </w:r>
    </w:p>
    <w:p w:rsidR="00BE1203" w:rsidRPr="00FE7433" w:rsidRDefault="00BE1203" w:rsidP="007D23B1">
      <w:pPr>
        <w:rPr>
          <w:rFonts w:ascii="Times New Roman" w:hAnsi="Times New Roman"/>
          <w:b/>
          <w:sz w:val="28"/>
          <w:szCs w:val="28"/>
        </w:rPr>
      </w:pPr>
      <w:r w:rsidRPr="00FE7433">
        <w:rPr>
          <w:rFonts w:ascii="Times New Roman" w:hAnsi="Times New Roman"/>
          <w:b/>
          <w:sz w:val="28"/>
          <w:szCs w:val="28"/>
        </w:rPr>
        <w:t xml:space="preserve">ANS: </w:t>
      </w:r>
      <w:r w:rsidR="00FE7433">
        <w:rPr>
          <w:rStyle w:val="mntl-sc-block-headingtext"/>
          <w:rFonts w:ascii="Times New Roman" w:hAnsi="Times New Roman"/>
          <w:b/>
          <w:bCs/>
          <w:sz w:val="28"/>
          <w:szCs w:val="28"/>
        </w:rPr>
        <w:t>Interest Rate:</w:t>
      </w:r>
    </w:p>
    <w:p w:rsidR="00FE7433" w:rsidRDefault="00FE7433" w:rsidP="007D23B1">
      <w:pPr>
        <w:pStyle w:val="comp"/>
        <w:spacing w:before="0" w:beforeAutospacing="0" w:line="276" w:lineRule="auto"/>
        <w:rPr>
          <w:sz w:val="26"/>
          <w:szCs w:val="26"/>
        </w:rPr>
      </w:pPr>
      <w:r w:rsidRPr="00FE7433">
        <w:rPr>
          <w:sz w:val="26"/>
          <w:szCs w:val="26"/>
        </w:rPr>
        <w:t>The interest rate is that the amount a lender charges for the utilization of assets expressed as a percentage of the principal. The rate of interest is often noted on an annual basis called the annual percentage rate (APR). The assets borrowed could include cash, commodity, or large assets like a vehicle or building.</w:t>
      </w:r>
    </w:p>
    <w:p w:rsidR="00AB0B2A" w:rsidRPr="00721E65" w:rsidRDefault="00AB0B2A" w:rsidP="007D23B1">
      <w:pPr>
        <w:pStyle w:val="comp"/>
        <w:spacing w:before="0" w:beforeAutospacing="0" w:line="276" w:lineRule="auto"/>
        <w:rPr>
          <w:sz w:val="26"/>
          <w:szCs w:val="26"/>
        </w:rPr>
      </w:pPr>
      <w:r w:rsidRPr="00721E65">
        <w:rPr>
          <w:sz w:val="26"/>
          <w:szCs w:val="26"/>
        </w:rPr>
        <w:t xml:space="preserve"> </w:t>
      </w:r>
      <w:r w:rsidRPr="00721E65">
        <w:rPr>
          <w:sz w:val="26"/>
          <w:szCs w:val="26"/>
        </w:rPr>
        <w:tab/>
      </w:r>
      <w:r w:rsidRPr="00721E65">
        <w:rPr>
          <w:sz w:val="26"/>
          <w:szCs w:val="26"/>
        </w:rPr>
        <w:tab/>
      </w:r>
      <w:r w:rsidRPr="00721E65">
        <w:rPr>
          <w:sz w:val="26"/>
          <w:szCs w:val="26"/>
        </w:rPr>
        <w:tab/>
      </w:r>
      <w:r w:rsidRPr="00721E65">
        <w:rPr>
          <w:sz w:val="26"/>
          <w:szCs w:val="26"/>
        </w:rPr>
        <w:tab/>
      </w:r>
      <w:r w:rsidRPr="00721E65">
        <w:rPr>
          <w:sz w:val="26"/>
          <w:szCs w:val="26"/>
        </w:rPr>
        <w:tab/>
        <w:t>OR</w:t>
      </w:r>
    </w:p>
    <w:p w:rsidR="00DF336A" w:rsidRDefault="00DF336A" w:rsidP="007D23B1">
      <w:pPr>
        <w:rPr>
          <w:rFonts w:ascii="Times New Roman" w:hAnsi="Times New Roman"/>
          <w:sz w:val="27"/>
          <w:szCs w:val="27"/>
        </w:rPr>
      </w:pPr>
      <w:r w:rsidRPr="00DF336A">
        <w:rPr>
          <w:rFonts w:ascii="Times New Roman" w:hAnsi="Times New Roman"/>
          <w:sz w:val="27"/>
          <w:szCs w:val="27"/>
        </w:rPr>
        <w:t xml:space="preserve">A rate of interest is defined as the proportion of an amount loaned which a lender charges as interest to the borrower, or loans expressed as an annual percentage. </w:t>
      </w:r>
      <w:r w:rsidR="00FE6733" w:rsidRPr="00DF336A">
        <w:rPr>
          <w:rFonts w:ascii="Times New Roman" w:hAnsi="Times New Roman"/>
          <w:sz w:val="27"/>
          <w:szCs w:val="27"/>
        </w:rPr>
        <w:t>It’s</w:t>
      </w:r>
      <w:r w:rsidRPr="00DF336A">
        <w:rPr>
          <w:rFonts w:ascii="Times New Roman" w:hAnsi="Times New Roman"/>
          <w:sz w:val="27"/>
          <w:szCs w:val="27"/>
        </w:rPr>
        <w:t xml:space="preserve"> the rate</w:t>
      </w:r>
      <w:r w:rsidR="00432663">
        <w:rPr>
          <w:rFonts w:ascii="Times New Roman" w:hAnsi="Times New Roman"/>
          <w:sz w:val="27"/>
          <w:szCs w:val="27"/>
        </w:rPr>
        <w:t xml:space="preserve"> or interest, </w:t>
      </w:r>
      <w:r w:rsidRPr="00DF336A">
        <w:rPr>
          <w:rFonts w:ascii="Times New Roman" w:hAnsi="Times New Roman"/>
          <w:sz w:val="27"/>
          <w:szCs w:val="27"/>
        </w:rPr>
        <w:t>bank or other lender charges to borrow its money, or the rate a bank pays its savers for keeping money in an account</w:t>
      </w:r>
    </w:p>
    <w:p w:rsidR="00B8641D" w:rsidRPr="00721E65" w:rsidRDefault="00B8641D" w:rsidP="007D23B1">
      <w:pPr>
        <w:rPr>
          <w:rFonts w:ascii="Times New Roman" w:hAnsi="Times New Roman"/>
          <w:sz w:val="28"/>
          <w:szCs w:val="27"/>
        </w:rPr>
      </w:pPr>
      <w:r w:rsidRPr="00721E65">
        <w:rPr>
          <w:rFonts w:ascii="Times New Roman" w:hAnsi="Times New Roman"/>
          <w:b/>
          <w:bCs/>
          <w:sz w:val="24"/>
        </w:rPr>
        <w:t>Pakistan - Interest Rate Data</w:t>
      </w:r>
    </w:p>
    <w:tbl>
      <w:tblPr>
        <w:tblW w:w="9165" w:type="dxa"/>
        <w:jc w:val="center"/>
        <w:tblCellMar>
          <w:top w:w="15" w:type="dxa"/>
          <w:left w:w="15" w:type="dxa"/>
          <w:bottom w:w="15" w:type="dxa"/>
          <w:right w:w="15" w:type="dxa"/>
        </w:tblCellMar>
        <w:tblLook w:val="04A0" w:firstRow="1" w:lastRow="0" w:firstColumn="1" w:lastColumn="0" w:noHBand="0" w:noVBand="1"/>
      </w:tblPr>
      <w:tblGrid>
        <w:gridCol w:w="3461"/>
        <w:gridCol w:w="1124"/>
        <w:gridCol w:w="1124"/>
        <w:gridCol w:w="1124"/>
        <w:gridCol w:w="1124"/>
        <w:gridCol w:w="1208"/>
      </w:tblGrid>
      <w:tr w:rsidR="00421F81" w:rsidRPr="00721E65" w:rsidTr="00B8641D">
        <w:trPr>
          <w:tblHeader/>
          <w:jc w:val="center"/>
        </w:trPr>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B8641D" w:rsidRPr="00721E65" w:rsidRDefault="00B8641D" w:rsidP="007D23B1">
            <w:pPr>
              <w:jc w:val="center"/>
              <w:rPr>
                <w:rFonts w:ascii="Times New Roman" w:hAnsi="Times New Roman"/>
                <w:b/>
                <w:bCs/>
                <w:sz w:val="24"/>
                <w:szCs w:val="24"/>
              </w:rPr>
            </w:pPr>
            <w:r w:rsidRPr="00721E65">
              <w:rPr>
                <w:rFonts w:ascii="Times New Roman" w:hAnsi="Times New Roman"/>
                <w:b/>
                <w:bCs/>
                <w:sz w:val="24"/>
                <w:szCs w:val="24"/>
              </w:rPr>
              <w:t>YEARS</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b/>
                <w:bCs/>
                <w:sz w:val="24"/>
                <w:szCs w:val="24"/>
              </w:rPr>
            </w:pPr>
            <w:r w:rsidRPr="00721E65">
              <w:rPr>
                <w:rFonts w:ascii="Times New Roman" w:hAnsi="Times New Roman"/>
                <w:b/>
                <w:bCs/>
                <w:sz w:val="24"/>
                <w:szCs w:val="24"/>
              </w:rPr>
              <w:t>2015</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b/>
                <w:bCs/>
                <w:sz w:val="24"/>
                <w:szCs w:val="24"/>
              </w:rPr>
            </w:pPr>
            <w:r w:rsidRPr="00721E65">
              <w:rPr>
                <w:rFonts w:ascii="Times New Roman" w:hAnsi="Times New Roman"/>
                <w:b/>
                <w:bCs/>
                <w:sz w:val="24"/>
                <w:szCs w:val="24"/>
              </w:rPr>
              <w:t>2016</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b/>
                <w:bCs/>
                <w:sz w:val="24"/>
                <w:szCs w:val="24"/>
              </w:rPr>
            </w:pPr>
            <w:r w:rsidRPr="00721E65">
              <w:rPr>
                <w:rFonts w:ascii="Times New Roman" w:hAnsi="Times New Roman"/>
                <w:b/>
                <w:bCs/>
                <w:sz w:val="24"/>
                <w:szCs w:val="24"/>
              </w:rPr>
              <w:t>2017</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b/>
                <w:bCs/>
                <w:sz w:val="24"/>
                <w:szCs w:val="24"/>
              </w:rPr>
            </w:pPr>
            <w:r w:rsidRPr="00721E65">
              <w:rPr>
                <w:rFonts w:ascii="Times New Roman" w:hAnsi="Times New Roman"/>
                <w:b/>
                <w:bCs/>
                <w:sz w:val="24"/>
                <w:szCs w:val="24"/>
              </w:rPr>
              <w:t>2018</w:t>
            </w:r>
          </w:p>
        </w:tc>
        <w:tc>
          <w:tcPr>
            <w:tcW w:w="0" w:type="auto"/>
            <w:tcBorders>
              <w:top w:val="single" w:sz="2" w:space="0" w:color="959595"/>
              <w:left w:val="single" w:sz="2" w:space="0" w:color="959595"/>
              <w:bottom w:val="single" w:sz="6" w:space="0" w:color="959595"/>
              <w:right w:val="single" w:sz="2" w:space="0" w:color="959595"/>
            </w:tcBorders>
            <w:shd w:val="clear" w:color="auto" w:fill="A8C4D9"/>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b/>
                <w:bCs/>
                <w:sz w:val="24"/>
                <w:szCs w:val="24"/>
              </w:rPr>
            </w:pPr>
            <w:r w:rsidRPr="00721E65">
              <w:rPr>
                <w:rFonts w:ascii="Times New Roman" w:hAnsi="Times New Roman"/>
                <w:b/>
                <w:bCs/>
                <w:sz w:val="24"/>
                <w:szCs w:val="24"/>
              </w:rPr>
              <w:t>2019</w:t>
            </w:r>
          </w:p>
        </w:tc>
      </w:tr>
      <w:tr w:rsidR="00421F81" w:rsidRPr="00721E65" w:rsidTr="00B8641D">
        <w:trPr>
          <w:jc w:val="center"/>
        </w:trPr>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B8641D" w:rsidRPr="00721E65" w:rsidRDefault="00B8641D" w:rsidP="007D23B1">
            <w:pPr>
              <w:spacing w:after="240"/>
              <w:jc w:val="center"/>
              <w:rPr>
                <w:rFonts w:ascii="Times New Roman" w:hAnsi="Times New Roman"/>
                <w:sz w:val="24"/>
                <w:szCs w:val="24"/>
              </w:rPr>
            </w:pPr>
            <w:r w:rsidRPr="00721E65">
              <w:rPr>
                <w:rFonts w:ascii="Times New Roman" w:hAnsi="Times New Roman"/>
                <w:sz w:val="24"/>
                <w:szCs w:val="24"/>
              </w:rPr>
              <w:t>Policy Interest Rate (%)</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sz w:val="24"/>
                <w:szCs w:val="24"/>
              </w:rPr>
            </w:pPr>
            <w:r w:rsidRPr="00721E65">
              <w:rPr>
                <w:rFonts w:ascii="Times New Roman" w:hAnsi="Times New Roman"/>
                <w:sz w:val="24"/>
                <w:szCs w:val="24"/>
              </w:rPr>
              <w:t>6.50</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sz w:val="24"/>
                <w:szCs w:val="24"/>
              </w:rPr>
            </w:pPr>
            <w:r w:rsidRPr="00721E65">
              <w:rPr>
                <w:rFonts w:ascii="Times New Roman" w:hAnsi="Times New Roman"/>
                <w:sz w:val="24"/>
                <w:szCs w:val="24"/>
              </w:rPr>
              <w:t>5.75</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sz w:val="24"/>
                <w:szCs w:val="24"/>
              </w:rPr>
            </w:pPr>
            <w:r w:rsidRPr="00721E65">
              <w:rPr>
                <w:rFonts w:ascii="Times New Roman" w:hAnsi="Times New Roman"/>
                <w:sz w:val="24"/>
                <w:szCs w:val="24"/>
              </w:rPr>
              <w:t>5.75</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sz w:val="24"/>
                <w:szCs w:val="24"/>
              </w:rPr>
            </w:pPr>
            <w:r w:rsidRPr="00721E65">
              <w:rPr>
                <w:rFonts w:ascii="Times New Roman" w:hAnsi="Times New Roman"/>
                <w:sz w:val="24"/>
                <w:szCs w:val="24"/>
              </w:rPr>
              <w:t>6.50</w:t>
            </w:r>
          </w:p>
        </w:tc>
        <w:tc>
          <w:tcPr>
            <w:tcW w:w="0" w:type="auto"/>
            <w:tcBorders>
              <w:top w:val="single" w:sz="2" w:space="0" w:color="959595"/>
              <w:left w:val="single" w:sz="2" w:space="0" w:color="959595"/>
              <w:bottom w:val="single" w:sz="6" w:space="0" w:color="959595"/>
              <w:right w:val="single" w:sz="2" w:space="0" w:color="959595"/>
            </w:tcBorders>
            <w:tcMar>
              <w:top w:w="90" w:type="dxa"/>
              <w:left w:w="0" w:type="dxa"/>
              <w:bottom w:w="90" w:type="dxa"/>
              <w:right w:w="180" w:type="dxa"/>
            </w:tcMar>
            <w:hideMark/>
          </w:tcPr>
          <w:p w:rsidR="00B8641D" w:rsidRPr="00721E65" w:rsidRDefault="00B8641D" w:rsidP="007D23B1">
            <w:pPr>
              <w:spacing w:after="240"/>
              <w:ind w:right="150"/>
              <w:jc w:val="center"/>
              <w:rPr>
                <w:rFonts w:ascii="Times New Roman" w:hAnsi="Times New Roman"/>
                <w:sz w:val="24"/>
                <w:szCs w:val="24"/>
              </w:rPr>
            </w:pPr>
            <w:r w:rsidRPr="00721E65">
              <w:rPr>
                <w:rFonts w:ascii="Times New Roman" w:hAnsi="Times New Roman"/>
                <w:sz w:val="24"/>
                <w:szCs w:val="24"/>
              </w:rPr>
              <w:t>12.25</w:t>
            </w:r>
          </w:p>
        </w:tc>
      </w:tr>
    </w:tbl>
    <w:p w:rsidR="00B8641D" w:rsidRPr="00721E65" w:rsidRDefault="00B8641D" w:rsidP="007D23B1">
      <w:pPr>
        <w:rPr>
          <w:rFonts w:ascii="Times New Roman" w:hAnsi="Times New Roman"/>
          <w:sz w:val="27"/>
          <w:szCs w:val="27"/>
        </w:rPr>
      </w:pPr>
    </w:p>
    <w:p w:rsidR="00AB0B2A" w:rsidRPr="00721E65" w:rsidRDefault="00AB0B2A" w:rsidP="007D23B1">
      <w:pPr>
        <w:rPr>
          <w:rFonts w:ascii="Times New Roman" w:hAnsi="Times New Roman"/>
          <w:b/>
          <w:sz w:val="26"/>
          <w:shd w:val="clear" w:color="auto" w:fill="FFFFFF"/>
        </w:rPr>
      </w:pPr>
      <w:r w:rsidRPr="00721E65">
        <w:rPr>
          <w:rFonts w:ascii="Times New Roman" w:hAnsi="Times New Roman"/>
          <w:b/>
          <w:sz w:val="28"/>
        </w:rPr>
        <w:t>Example</w:t>
      </w:r>
    </w:p>
    <w:p w:rsidR="00AB0B2A" w:rsidRPr="00DF336A" w:rsidRDefault="00DF336A" w:rsidP="007D23B1">
      <w:pPr>
        <w:pStyle w:val="NormalWeb"/>
        <w:spacing w:line="276" w:lineRule="auto"/>
        <w:rPr>
          <w:sz w:val="27"/>
          <w:szCs w:val="27"/>
        </w:rPr>
      </w:pPr>
      <w:r w:rsidRPr="00DF336A">
        <w:rPr>
          <w:shd w:val="clear" w:color="auto" w:fill="FFFFFF"/>
        </w:rPr>
        <w:t>Ali a buyer are paying cash for a home, he or likely will </w:t>
      </w:r>
      <w:r w:rsidRPr="00DF336A">
        <w:rPr>
          <w:bCs/>
          <w:shd w:val="clear" w:color="auto" w:fill="FFFFFF"/>
        </w:rPr>
        <w:t>put off</w:t>
      </w:r>
      <w:r w:rsidRPr="00DF336A">
        <w:rPr>
          <w:shd w:val="clear" w:color="auto" w:fill="FFFFFF"/>
        </w:rPr>
        <w:t> </w:t>
      </w:r>
      <w:r w:rsidRPr="00DF336A">
        <w:rPr>
          <w:bCs/>
          <w:shd w:val="clear" w:color="auto" w:fill="FFFFFF"/>
        </w:rPr>
        <w:t>a large</w:t>
      </w:r>
      <w:r w:rsidRPr="00DF336A">
        <w:rPr>
          <w:shd w:val="clear" w:color="auto" w:fill="FFFFFF"/>
        </w:rPr>
        <w:t> loan for </w:t>
      </w:r>
      <w:r w:rsidRPr="00DF336A">
        <w:rPr>
          <w:bCs/>
          <w:shd w:val="clear" w:color="auto" w:fill="FFFFFF"/>
        </w:rPr>
        <w:t>a replacement</w:t>
      </w:r>
      <w:r w:rsidRPr="00DF336A">
        <w:rPr>
          <w:shd w:val="clear" w:color="auto" w:fill="FFFFFF"/>
        </w:rPr>
        <w:t> residence. When the bank offers the loan to </w:t>
      </w:r>
      <w:r w:rsidRPr="00DF336A">
        <w:rPr>
          <w:bCs/>
          <w:shd w:val="clear" w:color="auto" w:fill="FFFFFF"/>
        </w:rPr>
        <w:t>the client</w:t>
      </w:r>
      <w:r w:rsidRPr="00DF336A">
        <w:rPr>
          <w:shd w:val="clear" w:color="auto" w:fill="FFFFFF"/>
        </w:rPr>
        <w:t>, </w:t>
      </w:r>
      <w:r w:rsidRPr="00DF336A">
        <w:rPr>
          <w:bCs/>
          <w:shd w:val="clear" w:color="auto" w:fill="FFFFFF"/>
        </w:rPr>
        <w:t>it'll</w:t>
      </w:r>
      <w:r w:rsidRPr="00DF336A">
        <w:rPr>
          <w:shd w:val="clear" w:color="auto" w:fill="FFFFFF"/>
        </w:rPr>
        <w:t> included a mortgage </w:t>
      </w:r>
      <w:r w:rsidRPr="00DF336A">
        <w:rPr>
          <w:bCs/>
          <w:shd w:val="clear" w:color="auto" w:fill="FFFFFF"/>
        </w:rPr>
        <w:t>rate of interest</w:t>
      </w:r>
      <w:r w:rsidRPr="00DF336A">
        <w:rPr>
          <w:shd w:val="clear" w:color="auto" w:fill="FFFFFF"/>
        </w:rPr>
        <w:t>.</w:t>
      </w:r>
      <w:r w:rsidRPr="00DF336A">
        <w:br/>
      </w:r>
      <w:r w:rsidRPr="00DF336A">
        <w:rPr>
          <w:shd w:val="clear" w:color="auto" w:fill="FFFFFF"/>
        </w:rPr>
        <w:t xml:space="preserve">For example, </w:t>
      </w:r>
      <w:r>
        <w:rPr>
          <w:shd w:val="clear" w:color="auto" w:fill="FFFFFF"/>
        </w:rPr>
        <w:t xml:space="preserve">let’s say the house </w:t>
      </w:r>
      <w:r w:rsidRPr="00DF336A">
        <w:rPr>
          <w:shd w:val="clear" w:color="auto" w:fill="FFFFFF"/>
        </w:rPr>
        <w:t>costs $250,000. </w:t>
      </w:r>
      <w:r w:rsidRPr="00DF336A">
        <w:rPr>
          <w:bCs/>
          <w:shd w:val="clear" w:color="auto" w:fill="FFFFFF"/>
        </w:rPr>
        <w:t>The longer term</w:t>
      </w:r>
      <w:r w:rsidRPr="00DF336A">
        <w:rPr>
          <w:shd w:val="clear" w:color="auto" w:fill="FFFFFF"/>
        </w:rPr>
        <w:t> homeowner </w:t>
      </w:r>
      <w:r w:rsidRPr="00DF336A">
        <w:rPr>
          <w:bCs/>
          <w:shd w:val="clear" w:color="auto" w:fill="FFFFFF"/>
        </w:rPr>
        <w:t xml:space="preserve">encompasses </w:t>
      </w:r>
      <w:r w:rsidRPr="00DF336A">
        <w:rPr>
          <w:bCs/>
          <w:shd w:val="clear" w:color="auto" w:fill="FFFFFF"/>
        </w:rPr>
        <w:lastRenderedPageBreak/>
        <w:t>a</w:t>
      </w:r>
      <w:r w:rsidRPr="00DF336A">
        <w:rPr>
          <w:shd w:val="clear" w:color="auto" w:fill="FFFFFF"/>
        </w:rPr>
        <w:t> </w:t>
      </w:r>
      <w:r w:rsidRPr="00DF336A">
        <w:rPr>
          <w:bCs/>
          <w:shd w:val="clear" w:color="auto" w:fill="FFFFFF"/>
        </w:rPr>
        <w:t>payment</w:t>
      </w:r>
      <w:r w:rsidRPr="00DF336A">
        <w:rPr>
          <w:shd w:val="clear" w:color="auto" w:fill="FFFFFF"/>
        </w:rPr>
        <w:t> of $10,000 in cash, but he or </w:t>
      </w:r>
      <w:r w:rsidRPr="00DF336A">
        <w:rPr>
          <w:bCs/>
          <w:shd w:val="clear" w:color="auto" w:fill="FFFFFF"/>
        </w:rPr>
        <w:t>she is going to</w:t>
      </w:r>
      <w:r w:rsidRPr="00DF336A">
        <w:rPr>
          <w:shd w:val="clear" w:color="auto" w:fill="FFFFFF"/>
        </w:rPr>
        <w:t> need a loan for </w:t>
      </w:r>
      <w:r w:rsidRPr="00DF336A">
        <w:rPr>
          <w:bCs/>
          <w:shd w:val="clear" w:color="auto" w:fill="FFFFFF"/>
        </w:rPr>
        <w:t>the additional</w:t>
      </w:r>
      <w:r w:rsidRPr="00DF336A">
        <w:rPr>
          <w:shd w:val="clear" w:color="auto" w:fill="FFFFFF"/>
        </w:rPr>
        <w:t> $240,000.</w:t>
      </w:r>
      <w:r w:rsidRPr="00DF336A">
        <w:br/>
      </w:r>
      <w:r w:rsidRPr="00DF336A">
        <w:rPr>
          <w:shd w:val="clear" w:color="auto" w:fill="FFFFFF"/>
        </w:rPr>
        <w:t>The formula for determining </w:t>
      </w:r>
      <w:r w:rsidRPr="00DF336A">
        <w:rPr>
          <w:bCs/>
          <w:shd w:val="clear" w:color="auto" w:fill="FFFFFF"/>
        </w:rPr>
        <w:t>what proportion</w:t>
      </w:r>
      <w:r w:rsidRPr="00DF336A">
        <w:rPr>
          <w:shd w:val="clear" w:color="auto" w:fill="FFFFFF"/>
        </w:rPr>
        <w:t> interest he or she pays is: principal x </w:t>
      </w:r>
      <w:r w:rsidRPr="00DF336A">
        <w:rPr>
          <w:bCs/>
          <w:shd w:val="clear" w:color="auto" w:fill="FFFFFF"/>
        </w:rPr>
        <w:t>rate</w:t>
      </w:r>
      <w:r w:rsidRPr="00DF336A">
        <w:rPr>
          <w:shd w:val="clear" w:color="auto" w:fill="FFFFFF"/>
        </w:rPr>
        <w:t> x number of periods. </w:t>
      </w:r>
      <w:r w:rsidRPr="00DF336A">
        <w:rPr>
          <w:bCs/>
          <w:shd w:val="clear" w:color="auto" w:fill="FFFFFF"/>
        </w:rPr>
        <w:t>During this</w:t>
      </w:r>
      <w:r w:rsidRPr="00DF336A">
        <w:rPr>
          <w:shd w:val="clear" w:color="auto" w:fill="FFFFFF"/>
        </w:rPr>
        <w:t> case, the borrower </w:t>
      </w:r>
      <w:r w:rsidRPr="00DF336A">
        <w:rPr>
          <w:bCs/>
          <w:shd w:val="clear" w:color="auto" w:fill="FFFFFF"/>
        </w:rPr>
        <w:t>can pay</w:t>
      </w:r>
      <w:r w:rsidRPr="00DF336A">
        <w:rPr>
          <w:shd w:val="clear" w:color="auto" w:fill="FFFFFF"/>
        </w:rPr>
        <w:t> back </w:t>
      </w:r>
      <w:r w:rsidRPr="00DF336A">
        <w:rPr>
          <w:bCs/>
          <w:shd w:val="clear" w:color="auto" w:fill="FFFFFF"/>
        </w:rPr>
        <w:t>a complete</w:t>
      </w:r>
      <w:r w:rsidRPr="00DF336A">
        <w:rPr>
          <w:shd w:val="clear" w:color="auto" w:fill="FFFFFF"/>
        </w:rPr>
        <w:t> of $305,469 and make monthly payments of $2,546.</w:t>
      </w:r>
    </w:p>
    <w:p w:rsidR="00CE168C" w:rsidRDefault="00CE168C" w:rsidP="007D23B1">
      <w:pPr>
        <w:rPr>
          <w:rFonts w:ascii="Times New Roman" w:hAnsi="Times New Roman"/>
          <w:b/>
          <w:sz w:val="25"/>
          <w:szCs w:val="25"/>
        </w:rPr>
      </w:pPr>
    </w:p>
    <w:p w:rsidR="00B8641D" w:rsidRPr="00721E65" w:rsidRDefault="00AB0B2A" w:rsidP="007D23B1">
      <w:pPr>
        <w:rPr>
          <w:rFonts w:ascii="Times New Roman" w:hAnsi="Times New Roman"/>
          <w:b/>
          <w:sz w:val="25"/>
          <w:szCs w:val="25"/>
        </w:rPr>
      </w:pPr>
      <w:r w:rsidRPr="00721E65">
        <w:rPr>
          <w:rFonts w:ascii="Times New Roman" w:hAnsi="Times New Roman"/>
          <w:b/>
          <w:sz w:val="25"/>
          <w:szCs w:val="25"/>
        </w:rPr>
        <w:t>Difference between nominal and real interest rate:</w:t>
      </w:r>
    </w:p>
    <w:p w:rsidR="00D63F70" w:rsidRPr="00721E65" w:rsidRDefault="00D63F70" w:rsidP="007D23B1">
      <w:pPr>
        <w:rPr>
          <w:rFonts w:ascii="Times New Roman" w:hAnsi="Times New Roman"/>
          <w:b/>
          <w:sz w:val="25"/>
          <w:szCs w:val="25"/>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5"/>
        <w:gridCol w:w="3658"/>
        <w:gridCol w:w="5072"/>
      </w:tblGrid>
      <w:tr w:rsidR="00421F81" w:rsidRPr="00721E65" w:rsidTr="00D63F70">
        <w:trPr>
          <w:trHeight w:val="33"/>
          <w:jc w:val="center"/>
        </w:trPr>
        <w:tc>
          <w:tcPr>
            <w:tcW w:w="1615"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Basis</w:t>
            </w:r>
          </w:p>
        </w:tc>
        <w:tc>
          <w:tcPr>
            <w:tcW w:w="3658"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Nominal Rate</w:t>
            </w:r>
          </w:p>
        </w:tc>
        <w:tc>
          <w:tcPr>
            <w:tcW w:w="5072"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Real Rate</w:t>
            </w:r>
          </w:p>
        </w:tc>
      </w:tr>
      <w:tr w:rsidR="00421F81" w:rsidRPr="00721E65" w:rsidTr="006F2A00">
        <w:trPr>
          <w:jc w:val="center"/>
        </w:trPr>
        <w:tc>
          <w:tcPr>
            <w:tcW w:w="1615"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Formula</w:t>
            </w:r>
          </w:p>
        </w:tc>
        <w:tc>
          <w:tcPr>
            <w:tcW w:w="3658"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Nominal Rate = Real Rate + Inflation</w:t>
            </w:r>
          </w:p>
        </w:tc>
        <w:tc>
          <w:tcPr>
            <w:tcW w:w="5072"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Real Rate = Nominal Rate – Inflation</w:t>
            </w:r>
          </w:p>
        </w:tc>
      </w:tr>
      <w:tr w:rsidR="00421F81" w:rsidRPr="00721E65" w:rsidTr="006F2A00">
        <w:trPr>
          <w:jc w:val="center"/>
        </w:trPr>
        <w:tc>
          <w:tcPr>
            <w:tcW w:w="1615"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Inflation effect</w:t>
            </w:r>
          </w:p>
        </w:tc>
        <w:tc>
          <w:tcPr>
            <w:tcW w:w="3658"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They do not have any effect of inflation</w:t>
            </w:r>
          </w:p>
        </w:tc>
        <w:tc>
          <w:tcPr>
            <w:tcW w:w="5072"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When inflation is greater than the nominal rate the real rate will be negative and when the inflation is less than the nominal rate the real rate will be positive.</w:t>
            </w:r>
          </w:p>
        </w:tc>
      </w:tr>
      <w:tr w:rsidR="00421F81" w:rsidRPr="00721E65" w:rsidTr="006F2A00">
        <w:trPr>
          <w:jc w:val="center"/>
        </w:trPr>
        <w:tc>
          <w:tcPr>
            <w:tcW w:w="1615"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Investment Option</w:t>
            </w:r>
          </w:p>
        </w:tc>
        <w:tc>
          <w:tcPr>
            <w:tcW w:w="3658"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Bonds usually quote nominal rates. This type of rates is usually quoted as coupon rate for fixed income investments as this rate is the interest rate promised by the issuer that is stamped on the coupon to be redeemed by bondholders</w:t>
            </w:r>
          </w:p>
        </w:tc>
        <w:tc>
          <w:tcPr>
            <w:tcW w:w="5072"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 xml:space="preserve">Investors who want to seek protection from inflation invest in Treasury Inflation-Protected Securities (TIPS), the interest of these securities is indexed to inflation. </w:t>
            </w:r>
          </w:p>
        </w:tc>
      </w:tr>
      <w:tr w:rsidR="00421F81" w:rsidRPr="00721E65" w:rsidTr="006F2A00">
        <w:trPr>
          <w:jc w:val="center"/>
        </w:trPr>
        <w:tc>
          <w:tcPr>
            <w:tcW w:w="1615"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b/>
                <w:bCs/>
                <w:sz w:val="24"/>
                <w:szCs w:val="27"/>
              </w:rPr>
              <w:t>Example</w:t>
            </w:r>
          </w:p>
        </w:tc>
        <w:tc>
          <w:tcPr>
            <w:tcW w:w="3658"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 xml:space="preserve">The rate of a Deposit is given as 2% p.a. on a $1000 investment. In nominal terms, the </w:t>
            </w:r>
            <w:r w:rsidR="00432663" w:rsidRPr="00721E65">
              <w:rPr>
                <w:rFonts w:ascii="Times New Roman" w:hAnsi="Times New Roman"/>
                <w:sz w:val="24"/>
                <w:szCs w:val="27"/>
              </w:rPr>
              <w:t>financier</w:t>
            </w:r>
            <w:r w:rsidRPr="00721E65">
              <w:rPr>
                <w:rFonts w:ascii="Times New Roman" w:hAnsi="Times New Roman"/>
                <w:sz w:val="24"/>
                <w:szCs w:val="27"/>
              </w:rPr>
              <w:t xml:space="preserve"> thinks that he is going to receive $200 as interest.</w:t>
            </w:r>
          </w:p>
        </w:tc>
        <w:tc>
          <w:tcPr>
            <w:tcW w:w="5072" w:type="dxa"/>
            <w:tcMar>
              <w:top w:w="90" w:type="dxa"/>
              <w:left w:w="0" w:type="dxa"/>
              <w:bottom w:w="90" w:type="dxa"/>
              <w:right w:w="0" w:type="dxa"/>
            </w:tcMar>
            <w:vAlign w:val="center"/>
            <w:hideMark/>
          </w:tcPr>
          <w:p w:rsidR="00B8641D" w:rsidRPr="00721E65" w:rsidRDefault="00B8641D" w:rsidP="007D23B1">
            <w:pPr>
              <w:spacing w:after="0"/>
              <w:jc w:val="center"/>
              <w:rPr>
                <w:rFonts w:ascii="Times New Roman" w:hAnsi="Times New Roman"/>
                <w:sz w:val="24"/>
                <w:szCs w:val="27"/>
              </w:rPr>
            </w:pPr>
            <w:r w:rsidRPr="00721E65">
              <w:rPr>
                <w:rFonts w:ascii="Times New Roman" w:hAnsi="Times New Roman"/>
                <w:sz w:val="24"/>
                <w:szCs w:val="27"/>
              </w:rPr>
              <w:t xml:space="preserve">The rate of a Deposit is given as 2% p.a. on a $1000 investment and the rate of inflation is 3%. The actual percentage return the </w:t>
            </w:r>
            <w:bookmarkStart w:id="0" w:name="_GoBack"/>
            <w:bookmarkEnd w:id="0"/>
            <w:r w:rsidR="00432663" w:rsidRPr="00721E65">
              <w:rPr>
                <w:rFonts w:ascii="Times New Roman" w:hAnsi="Times New Roman"/>
                <w:sz w:val="24"/>
                <w:szCs w:val="27"/>
              </w:rPr>
              <w:t>financier</w:t>
            </w:r>
            <w:r w:rsidRPr="00721E65">
              <w:rPr>
                <w:rFonts w:ascii="Times New Roman" w:hAnsi="Times New Roman"/>
                <w:sz w:val="24"/>
                <w:szCs w:val="27"/>
              </w:rPr>
              <w:t xml:space="preserve"> is going to earn is</w:t>
            </w:r>
            <w:r w:rsidRPr="00721E65">
              <w:rPr>
                <w:rFonts w:ascii="Times New Roman" w:hAnsi="Times New Roman"/>
                <w:sz w:val="24"/>
                <w:szCs w:val="27"/>
              </w:rPr>
              <w:br/>
              <w:t>2% – 3% = -1%. The return after considering the rate of inflation is negative.</w:t>
            </w:r>
          </w:p>
        </w:tc>
      </w:tr>
    </w:tbl>
    <w:p w:rsidR="00AB0B2A" w:rsidRDefault="00AB0B2A" w:rsidP="007D23B1">
      <w:pPr>
        <w:rPr>
          <w:rFonts w:ascii="Times New Roman" w:hAnsi="Times New Roman"/>
          <w:shd w:val="clear" w:color="auto" w:fill="FFFFFF"/>
        </w:rPr>
      </w:pPr>
    </w:p>
    <w:p w:rsidR="00CE168C" w:rsidRDefault="00CE168C" w:rsidP="007D23B1">
      <w:pPr>
        <w:rPr>
          <w:rFonts w:ascii="Times New Roman" w:hAnsi="Times New Roman"/>
          <w:shd w:val="clear" w:color="auto" w:fill="FFFFFF"/>
        </w:rPr>
      </w:pPr>
    </w:p>
    <w:p w:rsidR="00CE168C" w:rsidRPr="00721E65" w:rsidRDefault="00CE168C" w:rsidP="007D23B1">
      <w:pPr>
        <w:rPr>
          <w:rFonts w:ascii="Times New Roman" w:hAnsi="Times New Roman"/>
          <w:shd w:val="clear" w:color="auto" w:fill="FFFFFF"/>
        </w:rPr>
      </w:pPr>
    </w:p>
    <w:p w:rsidR="00C07421" w:rsidRDefault="006B7383" w:rsidP="007D23B1">
      <w:pPr>
        <w:rPr>
          <w:rFonts w:ascii="Times New Roman" w:hAnsi="Times New Roman"/>
          <w:b/>
          <w:shd w:val="clear" w:color="auto" w:fill="FFFFFF"/>
        </w:rPr>
      </w:pPr>
      <w:r>
        <w:rPr>
          <w:rFonts w:ascii="Times New Roman" w:hAnsi="Times New Roman"/>
          <w:shd w:val="clear" w:color="auto" w:fill="FFFFFF"/>
        </w:rPr>
        <w:t>-------------------------------------------------------------------------------------------------------------</w:t>
      </w:r>
    </w:p>
    <w:p w:rsidR="00CE168C" w:rsidRDefault="00CE168C" w:rsidP="007D23B1">
      <w:pPr>
        <w:rPr>
          <w:rFonts w:ascii="Times New Roman" w:hAnsi="Times New Roman"/>
          <w:b/>
          <w:sz w:val="28"/>
          <w:szCs w:val="28"/>
          <w:shd w:val="clear" w:color="auto" w:fill="FFFFFF"/>
        </w:rPr>
      </w:pPr>
    </w:p>
    <w:p w:rsidR="00F75607" w:rsidRPr="00C07421" w:rsidRDefault="006B7383" w:rsidP="007D23B1">
      <w:pP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Q2.</w:t>
      </w:r>
      <w:r w:rsidR="00F75607" w:rsidRPr="00C07421">
        <w:rPr>
          <w:rFonts w:ascii="Times New Roman" w:hAnsi="Times New Roman"/>
          <w:b/>
          <w:sz w:val="28"/>
          <w:szCs w:val="28"/>
          <w:shd w:val="clear" w:color="auto" w:fill="FFFFFF"/>
        </w:rPr>
        <w:t>PART B:</w:t>
      </w:r>
    </w:p>
    <w:p w:rsidR="00F75607" w:rsidRPr="00C07421" w:rsidRDefault="00F75607" w:rsidP="007D23B1">
      <w:pPr>
        <w:rPr>
          <w:rFonts w:ascii="Times New Roman" w:hAnsi="Times New Roman"/>
          <w:b/>
          <w:sz w:val="28"/>
          <w:szCs w:val="28"/>
        </w:rPr>
      </w:pPr>
      <w:r w:rsidRPr="00C07421">
        <w:rPr>
          <w:rFonts w:ascii="Times New Roman" w:hAnsi="Times New Roman"/>
          <w:b/>
          <w:sz w:val="28"/>
          <w:szCs w:val="28"/>
        </w:rPr>
        <w:t>What are money markets? Explain functions and importance of Money markets in Pakistan?</w:t>
      </w:r>
    </w:p>
    <w:p w:rsidR="00E83B6A" w:rsidRPr="00281C43" w:rsidRDefault="0004659E" w:rsidP="007D23B1">
      <w:pPr>
        <w:rPr>
          <w:rFonts w:ascii="Times New Roman" w:hAnsi="Times New Roman"/>
          <w:sz w:val="24"/>
          <w:szCs w:val="27"/>
          <w:shd w:val="clear" w:color="auto" w:fill="FFFFFF"/>
        </w:rPr>
      </w:pPr>
      <w:r w:rsidRPr="00721E65">
        <w:rPr>
          <w:rStyle w:val="Strong"/>
          <w:rFonts w:ascii="Times New Roman" w:hAnsi="Times New Roman"/>
          <w:sz w:val="27"/>
          <w:szCs w:val="27"/>
          <w:bdr w:val="none" w:sz="0" w:space="0" w:color="auto" w:frame="1"/>
          <w:shd w:val="clear" w:color="auto" w:fill="FFFFFF"/>
        </w:rPr>
        <w:t>Definition:</w:t>
      </w:r>
      <w:r w:rsidRPr="00721E65">
        <w:rPr>
          <w:rFonts w:ascii="Times New Roman" w:hAnsi="Times New Roman"/>
          <w:sz w:val="27"/>
          <w:szCs w:val="27"/>
          <w:shd w:val="clear" w:color="auto" w:fill="FFFFFF"/>
        </w:rPr>
        <w:t> </w:t>
      </w:r>
      <w:r w:rsidR="00E83B6A" w:rsidRPr="00281C43">
        <w:rPr>
          <w:rFonts w:ascii="Times New Roman" w:hAnsi="Times New Roman"/>
          <w:sz w:val="24"/>
          <w:szCs w:val="27"/>
          <w:shd w:val="clear" w:color="auto" w:fill="FFFFFF"/>
        </w:rPr>
        <w:t>The money market is a fragment of the cash or budgetary related markets where momentary development protections are arranged. As we can say a market or spot where exceptionally fluid monetary instrum</w:t>
      </w:r>
      <w:r w:rsidR="00281C43">
        <w:rPr>
          <w:rFonts w:ascii="Times New Roman" w:hAnsi="Times New Roman"/>
          <w:sz w:val="24"/>
          <w:szCs w:val="27"/>
          <w:shd w:val="clear" w:color="auto" w:fill="FFFFFF"/>
        </w:rPr>
        <w:t xml:space="preserve">ents are exchanged </w:t>
      </w:r>
    </w:p>
    <w:p w:rsidR="00E83B6A" w:rsidRPr="00281C43" w:rsidRDefault="00281C43" w:rsidP="007D23B1">
      <w:pPr>
        <w:ind w:left="2880" w:firstLine="720"/>
        <w:rPr>
          <w:rFonts w:ascii="Times New Roman" w:hAnsi="Times New Roman"/>
          <w:sz w:val="24"/>
          <w:szCs w:val="27"/>
          <w:shd w:val="clear" w:color="auto" w:fill="FFFFFF"/>
        </w:rPr>
      </w:pPr>
      <w:r>
        <w:rPr>
          <w:rFonts w:ascii="Times New Roman" w:hAnsi="Times New Roman"/>
          <w:sz w:val="24"/>
          <w:szCs w:val="27"/>
          <w:shd w:val="clear" w:color="auto" w:fill="FFFFFF"/>
        </w:rPr>
        <w:t>OR</w:t>
      </w:r>
    </w:p>
    <w:p w:rsidR="00281C43" w:rsidRPr="00281C43" w:rsidRDefault="00E83B6A" w:rsidP="007D23B1">
      <w:pPr>
        <w:rPr>
          <w:rFonts w:ascii="Times New Roman" w:hAnsi="Times New Roman"/>
          <w:sz w:val="24"/>
          <w:szCs w:val="27"/>
          <w:shd w:val="clear" w:color="auto" w:fill="FFFFFF"/>
        </w:rPr>
      </w:pPr>
      <w:r w:rsidRPr="00281C43">
        <w:rPr>
          <w:rFonts w:ascii="Times New Roman" w:hAnsi="Times New Roman"/>
          <w:sz w:val="24"/>
          <w:szCs w:val="27"/>
          <w:shd w:val="clear" w:color="auto" w:fill="FFFFFF"/>
        </w:rPr>
        <w:t>Money market instruments are protections that give associations, banks, and the lawmaking body with a great deal enormous sums capital for a short period of time. The period is for the time being, several days, weeks, or even months, yet for each situation not actually a year. The fiscal markets meet longer-term cash needs.</w:t>
      </w:r>
    </w:p>
    <w:p w:rsidR="008227FB" w:rsidRPr="001B2246" w:rsidRDefault="008227FB" w:rsidP="007D23B1">
      <w:pPr>
        <w:rPr>
          <w:rFonts w:ascii="Times New Roman" w:hAnsi="Times New Roman"/>
          <w:b/>
          <w:sz w:val="28"/>
        </w:rPr>
      </w:pPr>
      <w:r w:rsidRPr="001B2246">
        <w:rPr>
          <w:rFonts w:ascii="Times New Roman" w:hAnsi="Times New Roman"/>
          <w:b/>
          <w:sz w:val="28"/>
        </w:rPr>
        <w:t>Instruments of the Money Market</w:t>
      </w:r>
    </w:p>
    <w:p w:rsidR="008227FB" w:rsidRPr="001B2246" w:rsidRDefault="008227FB" w:rsidP="007D23B1">
      <w:pPr>
        <w:rPr>
          <w:rFonts w:ascii="Times New Roman" w:hAnsi="Times New Roman"/>
          <w:sz w:val="24"/>
        </w:rPr>
      </w:pPr>
      <w:r w:rsidRPr="001B2246">
        <w:rPr>
          <w:rFonts w:ascii="Times New Roman" w:hAnsi="Times New Roman"/>
          <w:sz w:val="24"/>
        </w:rPr>
        <w:t>1] Treasury Bills</w:t>
      </w:r>
    </w:p>
    <w:p w:rsidR="008227FB" w:rsidRPr="001B2246" w:rsidRDefault="008227FB" w:rsidP="007D23B1">
      <w:pPr>
        <w:rPr>
          <w:rFonts w:ascii="Times New Roman" w:hAnsi="Times New Roman"/>
          <w:sz w:val="24"/>
        </w:rPr>
      </w:pPr>
      <w:r w:rsidRPr="001B2246">
        <w:rPr>
          <w:rFonts w:ascii="Times New Roman" w:hAnsi="Times New Roman"/>
          <w:sz w:val="24"/>
        </w:rPr>
        <w:t>2] Commercial Paper</w:t>
      </w:r>
    </w:p>
    <w:p w:rsidR="008227FB" w:rsidRPr="001B2246" w:rsidRDefault="008227FB" w:rsidP="007D23B1">
      <w:pPr>
        <w:rPr>
          <w:rFonts w:ascii="Times New Roman" w:hAnsi="Times New Roman"/>
          <w:sz w:val="24"/>
        </w:rPr>
      </w:pPr>
      <w:r w:rsidRPr="001B2246">
        <w:rPr>
          <w:rFonts w:ascii="Times New Roman" w:hAnsi="Times New Roman"/>
          <w:sz w:val="24"/>
        </w:rPr>
        <w:t>3] Commercial Bill</w:t>
      </w:r>
    </w:p>
    <w:p w:rsidR="008227FB" w:rsidRPr="001B2246" w:rsidRDefault="008227FB" w:rsidP="007D23B1">
      <w:pPr>
        <w:rPr>
          <w:rFonts w:ascii="Times New Roman" w:hAnsi="Times New Roman"/>
          <w:sz w:val="24"/>
        </w:rPr>
      </w:pPr>
      <w:r w:rsidRPr="001B2246">
        <w:rPr>
          <w:rFonts w:ascii="Times New Roman" w:hAnsi="Times New Roman"/>
          <w:sz w:val="24"/>
        </w:rPr>
        <w:t>4] Call Money</w:t>
      </w:r>
    </w:p>
    <w:p w:rsidR="001B2246" w:rsidRDefault="001B2246" w:rsidP="007D23B1">
      <w:pPr>
        <w:rPr>
          <w:rFonts w:ascii="Times New Roman" w:hAnsi="Times New Roman"/>
          <w:sz w:val="24"/>
        </w:rPr>
      </w:pPr>
      <w:r>
        <w:rPr>
          <w:rFonts w:ascii="Times New Roman" w:hAnsi="Times New Roman"/>
          <w:sz w:val="24"/>
        </w:rPr>
        <w:t>5] Certificate of Deposits</w:t>
      </w:r>
    </w:p>
    <w:p w:rsidR="001F47F2" w:rsidRPr="001B2246" w:rsidRDefault="001F47F2" w:rsidP="007D23B1">
      <w:pPr>
        <w:rPr>
          <w:rFonts w:ascii="Times New Roman" w:hAnsi="Times New Roman"/>
          <w:sz w:val="24"/>
        </w:rPr>
      </w:pPr>
      <w:r w:rsidRPr="00721E65">
        <w:rPr>
          <w:rFonts w:ascii="Times New Roman" w:hAnsi="Times New Roman"/>
          <w:sz w:val="30"/>
          <w:szCs w:val="30"/>
          <w:bdr w:val="none" w:sz="0" w:space="0" w:color="auto" w:frame="1"/>
        </w:rPr>
        <w:t xml:space="preserve">Functions of Money Market </w:t>
      </w:r>
      <w:r w:rsidR="001B2246" w:rsidRPr="00721E65">
        <w:rPr>
          <w:rFonts w:ascii="Times New Roman" w:hAnsi="Times New Roman"/>
          <w:sz w:val="30"/>
          <w:szCs w:val="30"/>
          <w:bdr w:val="none" w:sz="0" w:space="0" w:color="auto" w:frame="1"/>
        </w:rPr>
        <w:t>in</w:t>
      </w:r>
      <w:r w:rsidRPr="00721E65">
        <w:rPr>
          <w:rFonts w:ascii="Times New Roman" w:hAnsi="Times New Roman"/>
          <w:sz w:val="30"/>
          <w:szCs w:val="30"/>
          <w:bdr w:val="none" w:sz="0" w:space="0" w:color="auto" w:frame="1"/>
        </w:rPr>
        <w:t xml:space="preserve"> Pakistan:</w:t>
      </w:r>
    </w:p>
    <w:p w:rsidR="00CC2C84" w:rsidRPr="00CC2C84" w:rsidRDefault="00CC2C84" w:rsidP="007D23B1">
      <w:pPr>
        <w:pStyle w:val="NormalWeb"/>
        <w:numPr>
          <w:ilvl w:val="0"/>
          <w:numId w:val="5"/>
        </w:numPr>
        <w:spacing w:after="0" w:line="276" w:lineRule="auto"/>
        <w:jc w:val="both"/>
        <w:textAlignment w:val="baseline"/>
        <w:rPr>
          <w:szCs w:val="23"/>
        </w:rPr>
      </w:pPr>
      <w:r w:rsidRPr="00CC2C84">
        <w:rPr>
          <w:szCs w:val="23"/>
        </w:rPr>
        <w:t xml:space="preserve">To keep up monetary harmony among demand and supply of transient money related exchanges. </w:t>
      </w:r>
    </w:p>
    <w:p w:rsidR="00CC2C84" w:rsidRPr="00CC2C84" w:rsidRDefault="00CC2C84" w:rsidP="007D23B1">
      <w:pPr>
        <w:pStyle w:val="NormalWeb"/>
        <w:numPr>
          <w:ilvl w:val="0"/>
          <w:numId w:val="5"/>
        </w:numPr>
        <w:spacing w:after="0" w:line="276" w:lineRule="auto"/>
        <w:jc w:val="both"/>
        <w:textAlignment w:val="baseline"/>
        <w:rPr>
          <w:szCs w:val="23"/>
        </w:rPr>
      </w:pPr>
      <w:r w:rsidRPr="00CC2C84">
        <w:rPr>
          <w:szCs w:val="23"/>
        </w:rPr>
        <w:t xml:space="preserve">Money market assumes a significant role of making supports accessible to numerous units or elements occupied with expanded field of exercises be it farming, industry, exchange, trade or some other business. </w:t>
      </w:r>
    </w:p>
    <w:p w:rsidR="00CC2C84" w:rsidRPr="00CC2C84" w:rsidRDefault="00CC2C84" w:rsidP="007D23B1">
      <w:pPr>
        <w:pStyle w:val="NormalWeb"/>
        <w:numPr>
          <w:ilvl w:val="0"/>
          <w:numId w:val="5"/>
        </w:numPr>
        <w:spacing w:after="0" w:line="276" w:lineRule="auto"/>
        <w:jc w:val="both"/>
        <w:textAlignment w:val="baseline"/>
        <w:rPr>
          <w:szCs w:val="23"/>
        </w:rPr>
      </w:pPr>
      <w:r w:rsidRPr="00CC2C84">
        <w:rPr>
          <w:szCs w:val="23"/>
        </w:rPr>
        <w:t xml:space="preserve">By giving assets and funds to creating parts it helps in development of economy moreover. </w:t>
      </w:r>
    </w:p>
    <w:p w:rsidR="00CC2C84" w:rsidRPr="00CC2C84" w:rsidRDefault="00CC2C84" w:rsidP="007D23B1">
      <w:pPr>
        <w:pStyle w:val="NormalWeb"/>
        <w:numPr>
          <w:ilvl w:val="0"/>
          <w:numId w:val="5"/>
        </w:numPr>
        <w:spacing w:after="0" w:line="276" w:lineRule="auto"/>
        <w:jc w:val="both"/>
        <w:textAlignment w:val="baseline"/>
        <w:rPr>
          <w:szCs w:val="23"/>
        </w:rPr>
      </w:pPr>
      <w:r w:rsidRPr="00CC2C84">
        <w:rPr>
          <w:szCs w:val="23"/>
        </w:rPr>
        <w:t xml:space="preserve">Another significant component that currency showcase gives is limiting of bills of trade which encourages development of exchange. </w:t>
      </w:r>
    </w:p>
    <w:p w:rsidR="00CC2C84" w:rsidRPr="00CC2C84" w:rsidRDefault="00CC2C84" w:rsidP="007D23B1">
      <w:pPr>
        <w:pStyle w:val="NormalWeb"/>
        <w:numPr>
          <w:ilvl w:val="0"/>
          <w:numId w:val="5"/>
        </w:numPr>
        <w:spacing w:after="0" w:line="276" w:lineRule="auto"/>
        <w:jc w:val="both"/>
        <w:textAlignment w:val="baseline"/>
        <w:rPr>
          <w:szCs w:val="23"/>
        </w:rPr>
      </w:pPr>
      <w:r w:rsidRPr="00CC2C84">
        <w:rPr>
          <w:szCs w:val="23"/>
        </w:rPr>
        <w:t xml:space="preserve">Most likely it gives a base to the usage of money approach moreover. </w:t>
      </w:r>
    </w:p>
    <w:p w:rsidR="00CC2C84" w:rsidRDefault="00CC2C84" w:rsidP="007D23B1">
      <w:pPr>
        <w:pStyle w:val="NormalWeb"/>
        <w:numPr>
          <w:ilvl w:val="0"/>
          <w:numId w:val="5"/>
        </w:numPr>
        <w:spacing w:before="0" w:beforeAutospacing="0" w:after="0" w:afterAutospacing="0" w:line="276" w:lineRule="auto"/>
        <w:jc w:val="both"/>
        <w:textAlignment w:val="baseline"/>
        <w:rPr>
          <w:szCs w:val="23"/>
        </w:rPr>
      </w:pPr>
      <w:r w:rsidRPr="00CC2C84">
        <w:rPr>
          <w:szCs w:val="23"/>
        </w:rPr>
        <w:t>The money market gives chance to momentary ventures, which accommodate transient investment funds, which thus help development of capital base too.</w:t>
      </w:r>
    </w:p>
    <w:p w:rsidR="00276EC7" w:rsidRPr="00CC2C84" w:rsidRDefault="00276EC7" w:rsidP="007D23B1">
      <w:pPr>
        <w:pStyle w:val="NormalWeb"/>
        <w:spacing w:before="0" w:beforeAutospacing="0" w:after="0" w:afterAutospacing="0" w:line="276" w:lineRule="auto"/>
        <w:ind w:left="720"/>
        <w:jc w:val="both"/>
        <w:textAlignment w:val="baseline"/>
        <w:rPr>
          <w:szCs w:val="23"/>
        </w:rPr>
      </w:pPr>
    </w:p>
    <w:p w:rsidR="00CE168C" w:rsidRDefault="00CE168C" w:rsidP="007D23B1">
      <w:pPr>
        <w:pStyle w:val="NormalWeb"/>
        <w:spacing w:before="0" w:beforeAutospacing="0" w:after="0" w:afterAutospacing="0" w:line="276" w:lineRule="auto"/>
        <w:jc w:val="both"/>
        <w:textAlignment w:val="baseline"/>
        <w:rPr>
          <w:b/>
          <w:sz w:val="28"/>
        </w:rPr>
      </w:pPr>
    </w:p>
    <w:p w:rsidR="00CC2C84" w:rsidRDefault="00CC2C84" w:rsidP="007D23B1">
      <w:pPr>
        <w:pStyle w:val="NormalWeb"/>
        <w:spacing w:before="0" w:beforeAutospacing="0" w:after="0" w:afterAutospacing="0" w:line="276" w:lineRule="auto"/>
        <w:jc w:val="both"/>
        <w:textAlignment w:val="baseline"/>
        <w:rPr>
          <w:b/>
          <w:sz w:val="28"/>
        </w:rPr>
      </w:pPr>
      <w:r w:rsidRPr="00643009">
        <w:rPr>
          <w:b/>
          <w:sz w:val="28"/>
        </w:rPr>
        <w:lastRenderedPageBreak/>
        <w:t>Importance of Money markets in Pakistan:</w:t>
      </w:r>
    </w:p>
    <w:p w:rsidR="00CE168C" w:rsidRPr="00643009" w:rsidRDefault="00CE168C" w:rsidP="007D23B1">
      <w:pPr>
        <w:pStyle w:val="NormalWeb"/>
        <w:spacing w:before="0" w:beforeAutospacing="0" w:after="0" w:afterAutospacing="0" w:line="276" w:lineRule="auto"/>
        <w:jc w:val="both"/>
        <w:textAlignment w:val="baseline"/>
        <w:rPr>
          <w:rStyle w:val="Strong"/>
          <w:sz w:val="28"/>
          <w:bdr w:val="none" w:sz="0" w:space="0" w:color="auto" w:frame="1"/>
        </w:rPr>
      </w:pPr>
    </w:p>
    <w:p w:rsidR="00E40B73" w:rsidRPr="00643009" w:rsidRDefault="00E40B73" w:rsidP="007D23B1">
      <w:pPr>
        <w:pStyle w:val="NormalWeb"/>
        <w:spacing w:before="0" w:beforeAutospacing="0" w:after="0" w:afterAutospacing="0" w:line="276" w:lineRule="auto"/>
        <w:jc w:val="both"/>
        <w:textAlignment w:val="baseline"/>
        <w:rPr>
          <w:sz w:val="28"/>
        </w:rPr>
      </w:pPr>
      <w:r w:rsidRPr="00643009">
        <w:rPr>
          <w:rStyle w:val="Strong"/>
          <w:sz w:val="28"/>
          <w:bdr w:val="none" w:sz="0" w:space="0" w:color="auto" w:frame="1"/>
        </w:rPr>
        <w:t xml:space="preserve"> Financing Trade:</w:t>
      </w:r>
    </w:p>
    <w:p w:rsidR="00E40B73" w:rsidRPr="00643009" w:rsidRDefault="00CC2C84" w:rsidP="007D23B1">
      <w:pPr>
        <w:pStyle w:val="NormalWeb"/>
        <w:spacing w:before="0" w:beforeAutospacing="0" w:after="288" w:afterAutospacing="0" w:line="276" w:lineRule="auto"/>
        <w:jc w:val="both"/>
        <w:textAlignment w:val="baseline"/>
      </w:pPr>
      <w:r w:rsidRPr="00643009">
        <w:t>Money Market plays important</w:t>
      </w:r>
      <w:r w:rsidR="00E40B73" w:rsidRPr="00643009">
        <w:t xml:space="preserve"> role in fin</w:t>
      </w:r>
      <w:r w:rsidRPr="00643009">
        <w:t>ancing both internal and international</w:t>
      </w:r>
      <w:r w:rsidR="00E40B73" w:rsidRPr="00643009">
        <w:t xml:space="preserve"> trade. </w:t>
      </w:r>
      <w:r w:rsidRPr="00643009">
        <w:t>Commercial business</w:t>
      </w:r>
      <w:r w:rsidR="00E40B73" w:rsidRPr="00643009">
        <w:t xml:space="preserve"> is made available to the traders through bills of exchange, which are discounted by the bill market. </w:t>
      </w:r>
    </w:p>
    <w:p w:rsidR="00E40B73" w:rsidRPr="00643009" w:rsidRDefault="00E40B73" w:rsidP="007D23B1">
      <w:pPr>
        <w:pStyle w:val="NormalWeb"/>
        <w:spacing w:before="0" w:beforeAutospacing="0" w:after="0" w:afterAutospacing="0" w:line="276" w:lineRule="auto"/>
        <w:jc w:val="both"/>
        <w:textAlignment w:val="baseline"/>
        <w:rPr>
          <w:sz w:val="28"/>
        </w:rPr>
      </w:pPr>
      <w:r w:rsidRPr="00643009">
        <w:rPr>
          <w:rStyle w:val="Strong"/>
          <w:sz w:val="28"/>
          <w:bdr w:val="none" w:sz="0" w:space="0" w:color="auto" w:frame="1"/>
        </w:rPr>
        <w:t>Profitable Investment:</w:t>
      </w:r>
    </w:p>
    <w:p w:rsidR="00643009" w:rsidRPr="00643009" w:rsidRDefault="00E40B73" w:rsidP="007D23B1">
      <w:pPr>
        <w:pStyle w:val="NormalWeb"/>
        <w:spacing w:before="0" w:beforeAutospacing="0" w:after="0" w:afterAutospacing="0" w:line="276" w:lineRule="auto"/>
        <w:jc w:val="both"/>
        <w:textAlignment w:val="baseline"/>
      </w:pPr>
      <w:r w:rsidRPr="00643009">
        <w:t>Money market enables the commercial banks</w:t>
      </w:r>
      <w:r w:rsidR="00643009" w:rsidRPr="00643009">
        <w:t xml:space="preserve"> and central bank of </w:t>
      </w:r>
      <w:proofErr w:type="spellStart"/>
      <w:proofErr w:type="gramStart"/>
      <w:r w:rsidR="00643009" w:rsidRPr="00643009">
        <w:t>pakistan</w:t>
      </w:r>
      <w:proofErr w:type="spellEnd"/>
      <w:proofErr w:type="gramEnd"/>
      <w:r w:rsidRPr="00643009">
        <w:t xml:space="preserve"> to use their excess reserves in profitable investment. The main objective of the commercial banks is to earn income</w:t>
      </w:r>
      <w:r w:rsidR="00643009" w:rsidRPr="00643009">
        <w:t xml:space="preserve"> and revenue</w:t>
      </w:r>
      <w:r w:rsidRPr="00643009">
        <w:t xml:space="preserve"> from its reserves as well as maintain liquidity to meet the uncertain cash demand of the depositors. </w:t>
      </w:r>
    </w:p>
    <w:p w:rsidR="00643009" w:rsidRPr="00643009" w:rsidRDefault="00643009" w:rsidP="007D23B1">
      <w:pPr>
        <w:pStyle w:val="NormalWeb"/>
        <w:spacing w:before="0" w:beforeAutospacing="0" w:after="0" w:afterAutospacing="0" w:line="276" w:lineRule="auto"/>
        <w:jc w:val="both"/>
        <w:textAlignment w:val="baseline"/>
      </w:pPr>
    </w:p>
    <w:p w:rsidR="00E40B73" w:rsidRPr="00643009" w:rsidRDefault="00E40B73" w:rsidP="007D23B1">
      <w:pPr>
        <w:pStyle w:val="NormalWeb"/>
        <w:spacing w:before="0" w:beforeAutospacing="0" w:after="0" w:afterAutospacing="0" w:line="276" w:lineRule="auto"/>
        <w:jc w:val="both"/>
        <w:textAlignment w:val="baseline"/>
        <w:rPr>
          <w:sz w:val="28"/>
        </w:rPr>
      </w:pPr>
      <w:r w:rsidRPr="00643009">
        <w:rPr>
          <w:rStyle w:val="Strong"/>
          <w:sz w:val="28"/>
          <w:bdr w:val="none" w:sz="0" w:space="0" w:color="auto" w:frame="1"/>
        </w:rPr>
        <w:t>Help to Central Bank:</w:t>
      </w:r>
    </w:p>
    <w:p w:rsidR="00643009" w:rsidRPr="00643009" w:rsidRDefault="00E40B73" w:rsidP="007D23B1">
      <w:pPr>
        <w:pStyle w:val="NormalWeb"/>
        <w:spacing w:before="0" w:beforeAutospacing="0" w:after="288" w:afterAutospacing="0" w:line="276" w:lineRule="auto"/>
        <w:jc w:val="both"/>
        <w:textAlignment w:val="baseline"/>
      </w:pPr>
      <w:r w:rsidRPr="00643009">
        <w:t>Though the central bank</w:t>
      </w:r>
      <w:r w:rsidR="00643009" w:rsidRPr="00643009">
        <w:t xml:space="preserve"> of Pakistan</w:t>
      </w:r>
      <w:r w:rsidRPr="00643009">
        <w:t xml:space="preserve"> can function and influence the banking system in the absence of a money market, the existence of a developed money market smoothens the functioning and increases the </w:t>
      </w:r>
      <w:r w:rsidR="00643009" w:rsidRPr="00643009">
        <w:t>efficiency of the central bank.</w:t>
      </w:r>
    </w:p>
    <w:p w:rsidR="003A117A" w:rsidRPr="00643009" w:rsidRDefault="003A117A" w:rsidP="007D23B1">
      <w:pPr>
        <w:pStyle w:val="NormalWeb"/>
        <w:spacing w:before="0" w:beforeAutospacing="0" w:after="288" w:afterAutospacing="0" w:line="276" w:lineRule="auto"/>
        <w:jc w:val="both"/>
        <w:textAlignment w:val="baseline"/>
        <w:rPr>
          <w:sz w:val="28"/>
        </w:rPr>
      </w:pPr>
      <w:r w:rsidRPr="00643009">
        <w:rPr>
          <w:b/>
          <w:bCs/>
          <w:sz w:val="28"/>
          <w:bdr w:val="none" w:sz="0" w:space="0" w:color="auto" w:frame="1"/>
        </w:rPr>
        <w:t>Use of Surplus Funds:</w:t>
      </w:r>
    </w:p>
    <w:p w:rsidR="00643009" w:rsidRPr="00643009" w:rsidRDefault="00643009" w:rsidP="007D23B1">
      <w:pPr>
        <w:pStyle w:val="NormalWeb"/>
        <w:spacing w:before="0" w:beforeAutospacing="0" w:after="288" w:afterAutospacing="0" w:line="276" w:lineRule="auto"/>
        <w:textAlignment w:val="baseline"/>
      </w:pPr>
      <w:r w:rsidRPr="00643009">
        <w:t xml:space="preserve">Money market use for surplus funds to </w:t>
      </w:r>
      <w:r w:rsidR="003A117A" w:rsidRPr="00643009">
        <w:t>financial institutions but also large non-financial business corporations, states an</w:t>
      </w:r>
      <w:r w:rsidRPr="00643009">
        <w:t>d local governments.</w:t>
      </w:r>
    </w:p>
    <w:p w:rsidR="00643009" w:rsidRPr="00643009" w:rsidRDefault="00643009" w:rsidP="007D23B1">
      <w:pPr>
        <w:pStyle w:val="NormalWeb"/>
        <w:spacing w:before="0" w:beforeAutospacing="0" w:after="0" w:afterAutospacing="0" w:line="276" w:lineRule="auto"/>
        <w:textAlignment w:val="baseline"/>
        <w:rPr>
          <w:b/>
          <w:bCs/>
          <w:bdr w:val="none" w:sz="0" w:space="0" w:color="auto" w:frame="1"/>
        </w:rPr>
      </w:pPr>
    </w:p>
    <w:p w:rsidR="00276EC7" w:rsidRPr="00276EC7" w:rsidRDefault="003A117A" w:rsidP="007D23B1">
      <w:pPr>
        <w:pStyle w:val="NormalWeb"/>
        <w:spacing w:before="0" w:beforeAutospacing="0" w:after="0" w:afterAutospacing="0" w:line="276" w:lineRule="auto"/>
        <w:textAlignment w:val="baseline"/>
        <w:rPr>
          <w:b/>
          <w:bCs/>
          <w:sz w:val="28"/>
          <w:bdr w:val="none" w:sz="0" w:space="0" w:color="auto" w:frame="1"/>
        </w:rPr>
      </w:pPr>
      <w:r w:rsidRPr="00643009">
        <w:rPr>
          <w:b/>
          <w:bCs/>
          <w:bdr w:val="none" w:sz="0" w:space="0" w:color="auto" w:frame="1"/>
        </w:rPr>
        <w:t xml:space="preserve"> </w:t>
      </w:r>
      <w:r w:rsidRPr="00643009">
        <w:rPr>
          <w:b/>
          <w:bCs/>
          <w:sz w:val="28"/>
          <w:bdr w:val="none" w:sz="0" w:space="0" w:color="auto" w:frame="1"/>
        </w:rPr>
        <w:t>Promotes Liquidity and Safety:</w:t>
      </w:r>
    </w:p>
    <w:p w:rsidR="00643009" w:rsidRPr="00643009" w:rsidRDefault="00643009" w:rsidP="007D23B1">
      <w:pPr>
        <w:pStyle w:val="NormalWeb"/>
        <w:spacing w:before="0" w:beforeAutospacing="0" w:after="0" w:afterAutospacing="0" w:line="276" w:lineRule="auto"/>
        <w:textAlignment w:val="baseline"/>
      </w:pPr>
      <w:r w:rsidRPr="00643009">
        <w:rPr>
          <w:bCs/>
          <w:bdr w:val="none" w:sz="0" w:space="0" w:color="auto" w:frame="1"/>
        </w:rPr>
        <w:t>Money market is help full for Promotes Liquidity and Safety:</w:t>
      </w:r>
    </w:p>
    <w:p w:rsidR="00643009" w:rsidRPr="00643009" w:rsidRDefault="00643009" w:rsidP="007D23B1">
      <w:pPr>
        <w:pStyle w:val="NormalWeb"/>
        <w:spacing w:before="0" w:beforeAutospacing="0" w:after="0" w:afterAutospacing="0" w:line="276" w:lineRule="auto"/>
        <w:textAlignment w:val="baseline"/>
        <w:rPr>
          <w:b/>
          <w:bCs/>
          <w:sz w:val="28"/>
          <w:bdr w:val="none" w:sz="0" w:space="0" w:color="auto" w:frame="1"/>
        </w:rPr>
      </w:pPr>
    </w:p>
    <w:p w:rsidR="003A117A" w:rsidRPr="00643009" w:rsidRDefault="003A117A" w:rsidP="007D23B1">
      <w:pPr>
        <w:pStyle w:val="NormalWeb"/>
        <w:spacing w:before="0" w:beforeAutospacing="0" w:after="0" w:afterAutospacing="0" w:line="276" w:lineRule="auto"/>
        <w:textAlignment w:val="baseline"/>
        <w:rPr>
          <w:sz w:val="28"/>
        </w:rPr>
      </w:pPr>
      <w:r w:rsidRPr="00643009">
        <w:rPr>
          <w:b/>
          <w:bCs/>
          <w:sz w:val="28"/>
          <w:bdr w:val="none" w:sz="0" w:space="0" w:color="auto" w:frame="1"/>
        </w:rPr>
        <w:t xml:space="preserve"> Equilibrium between Demand and Supply of Funds:</w:t>
      </w:r>
    </w:p>
    <w:p w:rsidR="003A117A" w:rsidRDefault="003A117A" w:rsidP="007D23B1">
      <w:pPr>
        <w:pStyle w:val="NormalWeb"/>
        <w:spacing w:before="0" w:beforeAutospacing="0" w:after="288" w:afterAutospacing="0" w:line="276" w:lineRule="auto"/>
        <w:textAlignment w:val="baseline"/>
      </w:pPr>
      <w:r w:rsidRPr="00643009">
        <w:t>The money market</w:t>
      </w:r>
      <w:r w:rsidR="00643009" w:rsidRPr="00643009">
        <w:t xml:space="preserve"> of </w:t>
      </w:r>
      <w:r w:rsidR="006B7383" w:rsidRPr="00643009">
        <w:t>Pakistan</w:t>
      </w:r>
      <w:r w:rsidR="00643009" w:rsidRPr="00643009">
        <w:t xml:space="preserve"> brings</w:t>
      </w:r>
      <w:r w:rsidRPr="00643009">
        <w:t xml:space="preserve"> equilibrium between the demand and supply of loanable funds.</w:t>
      </w:r>
    </w:p>
    <w:p w:rsidR="00CE168C" w:rsidRPr="00643009" w:rsidRDefault="00CE168C" w:rsidP="007D23B1">
      <w:pPr>
        <w:pStyle w:val="NormalWeb"/>
        <w:spacing w:before="0" w:beforeAutospacing="0" w:after="288" w:afterAutospacing="0" w:line="276" w:lineRule="auto"/>
        <w:textAlignment w:val="baseline"/>
      </w:pPr>
    </w:p>
    <w:p w:rsidR="003A117A" w:rsidRPr="00721E65" w:rsidRDefault="006B7383" w:rsidP="007D23B1">
      <w:pPr>
        <w:pStyle w:val="NormalWeb"/>
        <w:spacing w:before="0" w:beforeAutospacing="0" w:after="0" w:afterAutospacing="0" w:line="276" w:lineRule="auto"/>
        <w:textAlignment w:val="baseline"/>
        <w:rPr>
          <w:sz w:val="29"/>
          <w:szCs w:val="29"/>
        </w:rPr>
      </w:pPr>
      <w:r>
        <w:rPr>
          <w:sz w:val="29"/>
          <w:szCs w:val="29"/>
        </w:rPr>
        <w:t>================================================</w:t>
      </w:r>
    </w:p>
    <w:p w:rsidR="00CE168C" w:rsidRDefault="00CE168C" w:rsidP="007D23B1">
      <w:pPr>
        <w:pStyle w:val="NormalWeb"/>
        <w:spacing w:before="0" w:beforeAutospacing="0" w:after="288" w:afterAutospacing="0" w:line="276" w:lineRule="auto"/>
        <w:jc w:val="both"/>
        <w:textAlignment w:val="baseline"/>
        <w:rPr>
          <w:b/>
          <w:sz w:val="28"/>
          <w:szCs w:val="30"/>
        </w:rPr>
      </w:pPr>
    </w:p>
    <w:p w:rsidR="00CE168C" w:rsidRDefault="00CE168C" w:rsidP="007D23B1">
      <w:pPr>
        <w:pStyle w:val="NormalWeb"/>
        <w:spacing w:before="0" w:beforeAutospacing="0" w:after="288" w:afterAutospacing="0" w:line="276" w:lineRule="auto"/>
        <w:jc w:val="both"/>
        <w:textAlignment w:val="baseline"/>
        <w:rPr>
          <w:b/>
          <w:sz w:val="28"/>
          <w:szCs w:val="30"/>
        </w:rPr>
      </w:pPr>
    </w:p>
    <w:p w:rsidR="00CE168C" w:rsidRDefault="00CE168C" w:rsidP="007D23B1">
      <w:pPr>
        <w:pStyle w:val="NormalWeb"/>
        <w:spacing w:before="0" w:beforeAutospacing="0" w:after="288" w:afterAutospacing="0" w:line="276" w:lineRule="auto"/>
        <w:jc w:val="both"/>
        <w:textAlignment w:val="baseline"/>
        <w:rPr>
          <w:b/>
          <w:sz w:val="28"/>
          <w:szCs w:val="30"/>
        </w:rPr>
      </w:pPr>
    </w:p>
    <w:p w:rsidR="003A117A" w:rsidRDefault="006B7383" w:rsidP="007D23B1">
      <w:pPr>
        <w:pStyle w:val="NormalWeb"/>
        <w:spacing w:before="0" w:beforeAutospacing="0" w:after="288" w:afterAutospacing="0" w:line="276" w:lineRule="auto"/>
        <w:jc w:val="both"/>
        <w:textAlignment w:val="baseline"/>
        <w:rPr>
          <w:b/>
          <w:sz w:val="28"/>
          <w:szCs w:val="30"/>
        </w:rPr>
      </w:pPr>
      <w:r w:rsidRPr="006B7383">
        <w:rPr>
          <w:b/>
          <w:sz w:val="28"/>
          <w:szCs w:val="30"/>
        </w:rPr>
        <w:lastRenderedPageBreak/>
        <w:t>QUSTION NO 3</w:t>
      </w:r>
      <w:r w:rsidR="003A117A" w:rsidRPr="006B7383">
        <w:rPr>
          <w:b/>
          <w:sz w:val="28"/>
          <w:szCs w:val="30"/>
        </w:rPr>
        <w:t xml:space="preserve">:  </w:t>
      </w:r>
    </w:p>
    <w:p w:rsidR="000C5F2A" w:rsidRPr="006B7383" w:rsidRDefault="000C5F2A" w:rsidP="007D23B1">
      <w:pPr>
        <w:pStyle w:val="NormalWeb"/>
        <w:spacing w:before="0" w:beforeAutospacing="0" w:after="288" w:afterAutospacing="0" w:line="276" w:lineRule="auto"/>
        <w:jc w:val="both"/>
        <w:textAlignment w:val="baseline"/>
        <w:rPr>
          <w:b/>
          <w:sz w:val="28"/>
          <w:szCs w:val="30"/>
        </w:rPr>
      </w:pPr>
      <w:r w:rsidRPr="006B7383">
        <w:rPr>
          <w:b/>
          <w:sz w:val="28"/>
          <w:szCs w:val="30"/>
        </w:rPr>
        <w:t>PART A:</w:t>
      </w:r>
    </w:p>
    <w:p w:rsidR="000C5F2A" w:rsidRPr="000C5F2A" w:rsidRDefault="000C5F2A" w:rsidP="007D23B1">
      <w:pPr>
        <w:framePr w:hSpace="180" w:wrap="around" w:vAnchor="text" w:hAnchor="margin" w:y="1"/>
        <w:tabs>
          <w:tab w:val="right" w:pos="8307"/>
        </w:tabs>
        <w:spacing w:after="0"/>
        <w:jc w:val="both"/>
        <w:rPr>
          <w:rFonts w:ascii="Times New Roman" w:hAnsi="Times New Roman"/>
          <w:b/>
          <w:sz w:val="28"/>
          <w:szCs w:val="25"/>
        </w:rPr>
      </w:pPr>
      <w:r w:rsidRPr="000C5F2A">
        <w:rPr>
          <w:rFonts w:ascii="Times New Roman" w:hAnsi="Times New Roman"/>
          <w:b/>
          <w:sz w:val="28"/>
          <w:szCs w:val="25"/>
        </w:rPr>
        <w:t xml:space="preserve">What are foreign exchange markets and how it works? </w:t>
      </w:r>
    </w:p>
    <w:p w:rsidR="000C5F2A" w:rsidRDefault="000C5F2A" w:rsidP="007D23B1">
      <w:pPr>
        <w:pStyle w:val="NormalWeb"/>
        <w:spacing w:before="120" w:after="360" w:line="276" w:lineRule="auto"/>
        <w:rPr>
          <w:sz w:val="26"/>
          <w:szCs w:val="26"/>
        </w:rPr>
      </w:pPr>
    </w:p>
    <w:p w:rsidR="00F641A7" w:rsidRPr="00F641A7" w:rsidRDefault="00F641A7" w:rsidP="007D23B1">
      <w:pPr>
        <w:pStyle w:val="NormalWeb"/>
        <w:spacing w:before="120" w:after="360" w:line="276" w:lineRule="auto"/>
        <w:rPr>
          <w:sz w:val="26"/>
          <w:szCs w:val="26"/>
        </w:rPr>
      </w:pPr>
      <w:r w:rsidRPr="00F641A7">
        <w:rPr>
          <w:sz w:val="26"/>
          <w:szCs w:val="26"/>
        </w:rPr>
        <w:t>The foreign ex</w:t>
      </w:r>
      <w:r w:rsidR="000C5F2A">
        <w:rPr>
          <w:sz w:val="26"/>
          <w:szCs w:val="26"/>
        </w:rPr>
        <w:t>change market also known as</w:t>
      </w:r>
      <w:r w:rsidRPr="00F641A7">
        <w:rPr>
          <w:sz w:val="26"/>
          <w:szCs w:val="26"/>
        </w:rPr>
        <w:t xml:space="preserve"> </w:t>
      </w:r>
      <w:r w:rsidR="003B3B69" w:rsidRPr="00F641A7">
        <w:rPr>
          <w:sz w:val="26"/>
          <w:szCs w:val="26"/>
        </w:rPr>
        <w:t>the currency</w:t>
      </w:r>
      <w:r w:rsidR="003B3B69">
        <w:rPr>
          <w:sz w:val="26"/>
          <w:szCs w:val="26"/>
        </w:rPr>
        <w:t xml:space="preserve"> market</w:t>
      </w:r>
      <w:r w:rsidR="003B3B69" w:rsidRPr="00F641A7">
        <w:rPr>
          <w:sz w:val="26"/>
          <w:szCs w:val="26"/>
        </w:rPr>
        <w:t xml:space="preserve"> </w:t>
      </w:r>
      <w:r w:rsidR="003B3B69">
        <w:rPr>
          <w:sz w:val="26"/>
          <w:szCs w:val="26"/>
        </w:rPr>
        <w:t>forex,</w:t>
      </w:r>
      <w:r w:rsidR="003B3B69" w:rsidRPr="00F641A7">
        <w:rPr>
          <w:sz w:val="26"/>
          <w:szCs w:val="26"/>
        </w:rPr>
        <w:t xml:space="preserve"> or</w:t>
      </w:r>
      <w:r w:rsidRPr="00F641A7">
        <w:rPr>
          <w:sz w:val="26"/>
          <w:szCs w:val="26"/>
        </w:rPr>
        <w:t xml:space="preserve"> </w:t>
      </w:r>
      <w:r w:rsidR="003B3B69">
        <w:rPr>
          <w:sz w:val="26"/>
          <w:szCs w:val="26"/>
        </w:rPr>
        <w:t>FX, worldwide</w:t>
      </w:r>
      <w:r w:rsidRPr="00F641A7">
        <w:rPr>
          <w:sz w:val="26"/>
          <w:szCs w:val="26"/>
        </w:rPr>
        <w:t xml:space="preserve"> market center that decides the exchange rate for currencies around</w:t>
      </w:r>
      <w:r w:rsidR="000C5F2A">
        <w:rPr>
          <w:sz w:val="26"/>
          <w:szCs w:val="26"/>
        </w:rPr>
        <w:t xml:space="preserve"> the world. Members can trade, purchase and sell or </w:t>
      </w:r>
      <w:r w:rsidRPr="00F641A7">
        <w:rPr>
          <w:sz w:val="26"/>
          <w:szCs w:val="26"/>
        </w:rPr>
        <w:t>guess on monetary forms. Outside trade markets are comprised of banks, forex sellers, business organizations, national banks, speculation the board firms, multifaceted investments, retail forex vend</w:t>
      </w:r>
      <w:r>
        <w:rPr>
          <w:sz w:val="26"/>
          <w:szCs w:val="26"/>
        </w:rPr>
        <w:t xml:space="preserve">ors and financial specialists. </w:t>
      </w:r>
    </w:p>
    <w:p w:rsidR="00F641A7" w:rsidRPr="00F641A7" w:rsidRDefault="00F641A7" w:rsidP="007D23B1">
      <w:pPr>
        <w:pStyle w:val="NormalWeb"/>
        <w:spacing w:before="120" w:after="360" w:line="276" w:lineRule="auto"/>
        <w:rPr>
          <w:sz w:val="26"/>
          <w:szCs w:val="26"/>
        </w:rPr>
      </w:pPr>
      <w:r w:rsidRPr="00F641A7">
        <w:rPr>
          <w:sz w:val="26"/>
          <w:szCs w:val="26"/>
        </w:rPr>
        <w:t xml:space="preserve">      </w:t>
      </w:r>
      <w:r>
        <w:rPr>
          <w:sz w:val="26"/>
          <w:szCs w:val="26"/>
        </w:rPr>
        <w:t xml:space="preserve">                             OR</w:t>
      </w:r>
    </w:p>
    <w:p w:rsidR="00F641A7" w:rsidRDefault="00F641A7" w:rsidP="007D23B1">
      <w:pPr>
        <w:pStyle w:val="NormalWeb"/>
        <w:spacing w:before="120" w:beforeAutospacing="0" w:after="360" w:afterAutospacing="0" w:line="276" w:lineRule="auto"/>
        <w:rPr>
          <w:sz w:val="26"/>
          <w:szCs w:val="26"/>
        </w:rPr>
      </w:pPr>
      <w:r w:rsidRPr="00F641A7">
        <w:rPr>
          <w:sz w:val="26"/>
          <w:szCs w:val="26"/>
        </w:rPr>
        <w:t>The Foreign Exchange Market is where the purchasers and seller are engaged with sale and purchase of foreign currencies. As such, a market where the currencies of various nations are purchased and sold is known as foreign exchange market.</w:t>
      </w:r>
    </w:p>
    <w:p w:rsidR="00664046" w:rsidRPr="00721E65" w:rsidRDefault="000C5F2A" w:rsidP="007D23B1">
      <w:pPr>
        <w:pStyle w:val="NormalWeb"/>
        <w:spacing w:before="120" w:beforeAutospacing="0" w:after="360" w:afterAutospacing="0" w:line="276" w:lineRule="auto"/>
        <w:rPr>
          <w:sz w:val="26"/>
          <w:szCs w:val="26"/>
        </w:rPr>
      </w:pPr>
      <w:r w:rsidRPr="00721E65">
        <w:rPr>
          <w:sz w:val="26"/>
          <w:szCs w:val="26"/>
        </w:rPr>
        <w:t>M</w:t>
      </w:r>
      <w:r w:rsidR="00664046" w:rsidRPr="00721E65">
        <w:rPr>
          <w:sz w:val="26"/>
          <w:szCs w:val="26"/>
        </w:rPr>
        <w:t>ain players of the for</w:t>
      </w:r>
      <w:r>
        <w:rPr>
          <w:sz w:val="26"/>
          <w:szCs w:val="26"/>
        </w:rPr>
        <w:t xml:space="preserve">eign market and </w:t>
      </w:r>
      <w:r w:rsidR="00664046" w:rsidRPr="00721E65">
        <w:rPr>
          <w:sz w:val="26"/>
          <w:szCs w:val="26"/>
        </w:rPr>
        <w:t xml:space="preserve">place are shown in the figure </w:t>
      </w:r>
      <w:r w:rsidR="00643009" w:rsidRPr="00721E65">
        <w:rPr>
          <w:sz w:val="26"/>
          <w:szCs w:val="26"/>
        </w:rPr>
        <w:t>below</w:t>
      </w:r>
      <w:r w:rsidR="00643009">
        <w:rPr>
          <w:noProof/>
          <w:sz w:val="26"/>
          <w:szCs w:val="26"/>
        </w:rPr>
        <w:t>:</w:t>
      </w:r>
      <w:r w:rsidR="00664046" w:rsidRPr="00721E65">
        <w:rPr>
          <w:noProof/>
          <w:sz w:val="26"/>
          <w:szCs w:val="26"/>
        </w:rPr>
        <w:t xml:space="preserve"> </w:t>
      </w:r>
    </w:p>
    <w:p w:rsidR="00C66DB7" w:rsidRPr="00CC2C84" w:rsidRDefault="00CC2C84" w:rsidP="007D23B1">
      <w:pPr>
        <w:pStyle w:val="NormalWeb"/>
        <w:numPr>
          <w:ilvl w:val="0"/>
          <w:numId w:val="7"/>
        </w:numPr>
        <w:spacing w:before="0" w:beforeAutospacing="0" w:after="288" w:afterAutospacing="0" w:line="276" w:lineRule="auto"/>
        <w:jc w:val="both"/>
        <w:textAlignment w:val="baseline"/>
        <w:rPr>
          <w:szCs w:val="30"/>
        </w:rPr>
      </w:pPr>
      <w:r w:rsidRPr="00CC2C84">
        <w:rPr>
          <w:szCs w:val="30"/>
        </w:rPr>
        <w:t>CENRAL</w:t>
      </w:r>
      <w:r w:rsidR="00664046" w:rsidRPr="00CC2C84">
        <w:rPr>
          <w:szCs w:val="30"/>
        </w:rPr>
        <w:t xml:space="preserve"> Bank</w:t>
      </w:r>
    </w:p>
    <w:p w:rsidR="00664046" w:rsidRPr="00CC2C84" w:rsidRDefault="00664046" w:rsidP="007D23B1">
      <w:pPr>
        <w:pStyle w:val="NormalWeb"/>
        <w:numPr>
          <w:ilvl w:val="0"/>
          <w:numId w:val="7"/>
        </w:numPr>
        <w:spacing w:before="0" w:beforeAutospacing="0" w:after="288" w:afterAutospacing="0" w:line="276" w:lineRule="auto"/>
        <w:jc w:val="both"/>
        <w:textAlignment w:val="baseline"/>
        <w:rPr>
          <w:szCs w:val="30"/>
        </w:rPr>
      </w:pPr>
      <w:r w:rsidRPr="00CC2C84">
        <w:rPr>
          <w:szCs w:val="30"/>
        </w:rPr>
        <w:t>Broker</w:t>
      </w:r>
    </w:p>
    <w:p w:rsidR="00664046" w:rsidRPr="00CC2C84" w:rsidRDefault="00664046" w:rsidP="007D23B1">
      <w:pPr>
        <w:pStyle w:val="NormalWeb"/>
        <w:numPr>
          <w:ilvl w:val="0"/>
          <w:numId w:val="7"/>
        </w:numPr>
        <w:spacing w:before="0" w:beforeAutospacing="0" w:after="288" w:afterAutospacing="0" w:line="276" w:lineRule="auto"/>
        <w:jc w:val="both"/>
        <w:textAlignment w:val="baseline"/>
        <w:rPr>
          <w:szCs w:val="30"/>
        </w:rPr>
      </w:pPr>
      <w:r w:rsidRPr="00CC2C84">
        <w:rPr>
          <w:szCs w:val="30"/>
        </w:rPr>
        <w:t>Commercial bank</w:t>
      </w:r>
    </w:p>
    <w:p w:rsidR="00664046" w:rsidRPr="00CC2C84" w:rsidRDefault="00CC2C84" w:rsidP="007D23B1">
      <w:pPr>
        <w:pStyle w:val="NormalWeb"/>
        <w:numPr>
          <w:ilvl w:val="0"/>
          <w:numId w:val="7"/>
        </w:numPr>
        <w:spacing w:before="0" w:beforeAutospacing="0" w:after="288" w:afterAutospacing="0" w:line="276" w:lineRule="auto"/>
        <w:jc w:val="both"/>
        <w:textAlignment w:val="baseline"/>
        <w:rPr>
          <w:szCs w:val="30"/>
        </w:rPr>
      </w:pPr>
      <w:r w:rsidRPr="00CC2C84">
        <w:rPr>
          <w:szCs w:val="30"/>
        </w:rPr>
        <w:t>Exports</w:t>
      </w:r>
      <w:r w:rsidR="00664046" w:rsidRPr="00CC2C84">
        <w:rPr>
          <w:szCs w:val="30"/>
        </w:rPr>
        <w:t>, importers, tourists, investors, Immigrants</w:t>
      </w:r>
    </w:p>
    <w:p w:rsidR="00664046" w:rsidRPr="003D66DE" w:rsidRDefault="003D66DE" w:rsidP="007D23B1">
      <w:pPr>
        <w:rPr>
          <w:rFonts w:ascii="Times New Roman" w:hAnsi="Times New Roman"/>
          <w:b/>
          <w:sz w:val="28"/>
          <w:szCs w:val="24"/>
        </w:rPr>
      </w:pPr>
      <w:r>
        <w:rPr>
          <w:rFonts w:ascii="Times New Roman" w:hAnsi="Times New Roman"/>
          <w:b/>
          <w:sz w:val="28"/>
          <w:szCs w:val="24"/>
        </w:rPr>
        <w:t>Foreign Exchange work</w:t>
      </w:r>
    </w:p>
    <w:p w:rsidR="003D66DE" w:rsidRPr="003D66DE" w:rsidRDefault="003D66DE" w:rsidP="007D23B1">
      <w:pPr>
        <w:rPr>
          <w:rFonts w:ascii="Times New Roman" w:hAnsi="Times New Roman"/>
          <w:sz w:val="24"/>
          <w:szCs w:val="24"/>
        </w:rPr>
      </w:pPr>
      <w:r w:rsidRPr="003D66DE">
        <w:rPr>
          <w:rFonts w:ascii="Times New Roman" w:hAnsi="Times New Roman"/>
          <w:sz w:val="24"/>
          <w:szCs w:val="24"/>
        </w:rPr>
        <w:t>The Forex (FX) market is the global marketplace for exchanging and trading monetary standards. It is decentralized – at the end of the day, it doesn't work in one specific spot as stock trades do. Any individual who purchases or sells a specific cash is getting to the Forex advertise. In this way, in case you're taking your compensation or annuity from the UK to Switzerland, you'll be utilizing the Forex market to sell</w:t>
      </w:r>
      <w:r>
        <w:rPr>
          <w:rFonts w:ascii="Times New Roman" w:hAnsi="Times New Roman"/>
          <w:sz w:val="24"/>
          <w:szCs w:val="24"/>
        </w:rPr>
        <w:t xml:space="preserve"> your pounds for Swiss francs. </w:t>
      </w:r>
    </w:p>
    <w:p w:rsidR="003D66DE" w:rsidRPr="003D66DE" w:rsidRDefault="003D66DE" w:rsidP="007D23B1">
      <w:pPr>
        <w:rPr>
          <w:rFonts w:ascii="Times New Roman" w:hAnsi="Times New Roman"/>
          <w:sz w:val="24"/>
          <w:szCs w:val="24"/>
        </w:rPr>
      </w:pPr>
      <w:r w:rsidRPr="003D66DE">
        <w:rPr>
          <w:rFonts w:ascii="Times New Roman" w:hAnsi="Times New Roman"/>
          <w:sz w:val="24"/>
          <w:szCs w:val="24"/>
        </w:rPr>
        <w:t xml:space="preserve">Obviously, expats are a long way from the main individuals who need to trade money. Worldwide exchange requires of all shapes and sizes organizations the same to burn through billions in outside monetary standards every day. Banks also deal with a universal scale, </w:t>
      </w:r>
      <w:r w:rsidRPr="003D66DE">
        <w:rPr>
          <w:rFonts w:ascii="Times New Roman" w:hAnsi="Times New Roman"/>
          <w:sz w:val="24"/>
          <w:szCs w:val="24"/>
        </w:rPr>
        <w:lastRenderedPageBreak/>
        <w:t>exchanging tremendous measures of money consistently. Thus, the Forex showcase is the greatest on the planet, exchan</w:t>
      </w:r>
      <w:r>
        <w:rPr>
          <w:rFonts w:ascii="Times New Roman" w:hAnsi="Times New Roman"/>
          <w:sz w:val="24"/>
          <w:szCs w:val="24"/>
        </w:rPr>
        <w:t xml:space="preserve">ging over $5 trillion per day. </w:t>
      </w:r>
    </w:p>
    <w:p w:rsidR="003D66DE" w:rsidRDefault="003D66DE" w:rsidP="007D23B1">
      <w:pPr>
        <w:rPr>
          <w:rFonts w:ascii="Times New Roman" w:hAnsi="Times New Roman"/>
          <w:sz w:val="24"/>
          <w:szCs w:val="24"/>
        </w:rPr>
      </w:pPr>
      <w:r w:rsidRPr="003D66DE">
        <w:rPr>
          <w:rFonts w:ascii="Times New Roman" w:hAnsi="Times New Roman"/>
          <w:sz w:val="24"/>
          <w:szCs w:val="24"/>
        </w:rPr>
        <w:t>Forex merchants utilize the changing trade rates for their potential benefit. They purchase a money which they think will before long reinforce, and afterward, if effective, sell it once it is worth more. The best dealers are the individuals who can precisely foresee financial occasions and how they impact the money rates.</w:t>
      </w:r>
    </w:p>
    <w:p w:rsidR="0004659E" w:rsidRPr="00F21986" w:rsidRDefault="00660545" w:rsidP="00CE168C">
      <w:pPr>
        <w:spacing w:line="360" w:lineRule="auto"/>
        <w:rPr>
          <w:rFonts w:ascii="Times New Roman" w:hAnsi="Times New Roman"/>
          <w:b/>
          <w:sz w:val="28"/>
          <w:szCs w:val="24"/>
        </w:rPr>
      </w:pPr>
      <w:r w:rsidRPr="00F21986">
        <w:rPr>
          <w:rFonts w:ascii="Times New Roman" w:hAnsi="Times New Roman"/>
          <w:b/>
          <w:sz w:val="28"/>
          <w:szCs w:val="24"/>
        </w:rPr>
        <w:t>Characteristics of FX Market</w:t>
      </w:r>
    </w:p>
    <w:p w:rsidR="00F21986" w:rsidRPr="00F569C4" w:rsidRDefault="00F21986" w:rsidP="00CE168C">
      <w:pPr>
        <w:pStyle w:val="ListParagraph"/>
        <w:numPr>
          <w:ilvl w:val="0"/>
          <w:numId w:val="8"/>
        </w:numPr>
        <w:spacing w:line="360" w:lineRule="auto"/>
        <w:rPr>
          <w:rFonts w:ascii="Times New Roman" w:hAnsi="Times New Roman"/>
          <w:sz w:val="24"/>
          <w:szCs w:val="24"/>
        </w:rPr>
      </w:pPr>
      <w:r w:rsidRPr="00F569C4">
        <w:rPr>
          <w:rFonts w:ascii="Times New Roman" w:hAnsi="Times New Roman"/>
          <w:sz w:val="24"/>
          <w:szCs w:val="24"/>
        </w:rPr>
        <w:t xml:space="preserve">The FX market is right around a 24 hour market. </w:t>
      </w:r>
    </w:p>
    <w:p w:rsidR="00F21986" w:rsidRPr="00F569C4" w:rsidRDefault="00F21986" w:rsidP="00CE168C">
      <w:pPr>
        <w:pStyle w:val="ListParagraph"/>
        <w:numPr>
          <w:ilvl w:val="0"/>
          <w:numId w:val="8"/>
        </w:numPr>
        <w:spacing w:line="360" w:lineRule="auto"/>
        <w:rPr>
          <w:rFonts w:ascii="Times New Roman" w:hAnsi="Times New Roman"/>
          <w:sz w:val="24"/>
          <w:szCs w:val="24"/>
        </w:rPr>
      </w:pPr>
      <w:r w:rsidRPr="00F569C4">
        <w:rPr>
          <w:rFonts w:ascii="Times New Roman" w:hAnsi="Times New Roman"/>
          <w:sz w:val="24"/>
          <w:szCs w:val="24"/>
        </w:rPr>
        <w:t xml:space="preserve">Between bank brokers are significant players in FX showcase. </w:t>
      </w:r>
    </w:p>
    <w:p w:rsidR="00F21986" w:rsidRPr="00F569C4" w:rsidRDefault="00F21986" w:rsidP="00CE168C">
      <w:pPr>
        <w:pStyle w:val="ListParagraph"/>
        <w:numPr>
          <w:ilvl w:val="0"/>
          <w:numId w:val="8"/>
        </w:numPr>
        <w:spacing w:line="360" w:lineRule="auto"/>
        <w:rPr>
          <w:rFonts w:ascii="Times New Roman" w:hAnsi="Times New Roman"/>
          <w:sz w:val="24"/>
          <w:szCs w:val="24"/>
        </w:rPr>
      </w:pPr>
      <w:r w:rsidRPr="00F569C4">
        <w:rPr>
          <w:rFonts w:ascii="Times New Roman" w:hAnsi="Times New Roman"/>
          <w:sz w:val="24"/>
          <w:szCs w:val="24"/>
        </w:rPr>
        <w:t xml:space="preserve">90% of exchanging happens regarding the US dollars. </w:t>
      </w:r>
    </w:p>
    <w:p w:rsidR="00F21986" w:rsidRPr="00F569C4" w:rsidRDefault="00F21986" w:rsidP="00CE168C">
      <w:pPr>
        <w:pStyle w:val="ListParagraph"/>
        <w:numPr>
          <w:ilvl w:val="0"/>
          <w:numId w:val="8"/>
        </w:numPr>
        <w:spacing w:line="360" w:lineRule="auto"/>
        <w:rPr>
          <w:rFonts w:ascii="Times New Roman" w:hAnsi="Times New Roman"/>
          <w:sz w:val="24"/>
          <w:szCs w:val="24"/>
        </w:rPr>
      </w:pPr>
      <w:r w:rsidRPr="00F569C4">
        <w:rPr>
          <w:rFonts w:ascii="Times New Roman" w:hAnsi="Times New Roman"/>
          <w:sz w:val="24"/>
          <w:szCs w:val="24"/>
        </w:rPr>
        <w:t xml:space="preserve">The purposes behind citing most trade rates against a typical money (a "vehicle cash") </w:t>
      </w:r>
    </w:p>
    <w:p w:rsidR="00F21986" w:rsidRPr="00F569C4" w:rsidRDefault="00F21986" w:rsidP="00CE168C">
      <w:pPr>
        <w:pStyle w:val="ListParagraph"/>
        <w:numPr>
          <w:ilvl w:val="0"/>
          <w:numId w:val="8"/>
        </w:numPr>
        <w:spacing w:line="360" w:lineRule="auto"/>
        <w:rPr>
          <w:rFonts w:ascii="Times New Roman" w:hAnsi="Times New Roman"/>
          <w:sz w:val="24"/>
          <w:szCs w:val="24"/>
        </w:rPr>
      </w:pPr>
      <w:r w:rsidRPr="00F569C4">
        <w:rPr>
          <w:rFonts w:ascii="Times New Roman" w:hAnsi="Times New Roman"/>
          <w:sz w:val="24"/>
          <w:szCs w:val="24"/>
        </w:rPr>
        <w:t xml:space="preserve">The FX advertise is an over-the-counter market. </w:t>
      </w:r>
    </w:p>
    <w:p w:rsidR="00F21986" w:rsidRDefault="00F21986" w:rsidP="00CE168C">
      <w:pPr>
        <w:spacing w:line="360" w:lineRule="auto"/>
        <w:rPr>
          <w:rFonts w:ascii="Times New Roman" w:hAnsi="Times New Roman"/>
          <w:sz w:val="24"/>
          <w:szCs w:val="24"/>
        </w:rPr>
      </w:pPr>
      <w:r w:rsidRPr="00F21986">
        <w:rPr>
          <w:rFonts w:ascii="Times New Roman" w:hAnsi="Times New Roman"/>
          <w:sz w:val="24"/>
          <w:szCs w:val="24"/>
        </w:rPr>
        <w:t>There is no physical area where dealers get together to trade monetary standards. Or maybe merchants are situated in the workplaces of significant business banks far and wide and impart utilizing work stations, phones, messages, and other data channels.</w:t>
      </w:r>
    </w:p>
    <w:p w:rsidR="00D40E16" w:rsidRDefault="00D40E16" w:rsidP="00CE168C">
      <w:pPr>
        <w:spacing w:line="360" w:lineRule="auto"/>
        <w:rPr>
          <w:rFonts w:ascii="Times New Roman" w:hAnsi="Times New Roman"/>
          <w:b/>
          <w:sz w:val="28"/>
          <w:szCs w:val="24"/>
        </w:rPr>
      </w:pPr>
    </w:p>
    <w:p w:rsidR="00660545" w:rsidRPr="00F21986" w:rsidRDefault="006E4835" w:rsidP="00CE168C">
      <w:pPr>
        <w:spacing w:line="360" w:lineRule="auto"/>
        <w:rPr>
          <w:rFonts w:ascii="Times New Roman" w:hAnsi="Times New Roman"/>
          <w:b/>
          <w:sz w:val="28"/>
          <w:szCs w:val="24"/>
        </w:rPr>
      </w:pPr>
      <w:r w:rsidRPr="00F21986">
        <w:rPr>
          <w:rFonts w:ascii="Times New Roman" w:hAnsi="Times New Roman"/>
          <w:b/>
          <w:sz w:val="28"/>
          <w:szCs w:val="24"/>
        </w:rPr>
        <w:t>Functions of the Foreign Exchange Market</w:t>
      </w:r>
    </w:p>
    <w:p w:rsidR="00F569C4" w:rsidRPr="00F569C4" w:rsidRDefault="00F569C4" w:rsidP="00CE168C">
      <w:pPr>
        <w:pStyle w:val="ListParagraph"/>
        <w:numPr>
          <w:ilvl w:val="0"/>
          <w:numId w:val="9"/>
        </w:numPr>
        <w:spacing w:line="360" w:lineRule="auto"/>
        <w:rPr>
          <w:rFonts w:ascii="Times New Roman" w:hAnsi="Times New Roman"/>
          <w:sz w:val="24"/>
          <w:szCs w:val="24"/>
        </w:rPr>
      </w:pPr>
      <w:r w:rsidRPr="00F569C4">
        <w:rPr>
          <w:rFonts w:ascii="Times New Roman" w:hAnsi="Times New Roman"/>
          <w:sz w:val="24"/>
          <w:szCs w:val="24"/>
        </w:rPr>
        <w:t>The foreign exchange Market is the component by which members</w:t>
      </w:r>
    </w:p>
    <w:p w:rsidR="00F569C4" w:rsidRPr="00F569C4" w:rsidRDefault="00F569C4" w:rsidP="00CE168C">
      <w:pPr>
        <w:pStyle w:val="ListParagraph"/>
        <w:numPr>
          <w:ilvl w:val="0"/>
          <w:numId w:val="9"/>
        </w:numPr>
        <w:spacing w:line="360" w:lineRule="auto"/>
        <w:rPr>
          <w:rFonts w:ascii="Times New Roman" w:hAnsi="Times New Roman"/>
          <w:sz w:val="24"/>
          <w:szCs w:val="24"/>
        </w:rPr>
      </w:pPr>
      <w:r w:rsidRPr="00F569C4">
        <w:rPr>
          <w:rFonts w:ascii="Times New Roman" w:hAnsi="Times New Roman"/>
          <w:sz w:val="24"/>
          <w:szCs w:val="24"/>
        </w:rPr>
        <w:t xml:space="preserve">Move buying power between nations; </w:t>
      </w:r>
    </w:p>
    <w:p w:rsidR="00F569C4" w:rsidRPr="00F569C4" w:rsidRDefault="00F569C4" w:rsidP="00CE168C">
      <w:pPr>
        <w:pStyle w:val="ListParagraph"/>
        <w:numPr>
          <w:ilvl w:val="0"/>
          <w:numId w:val="9"/>
        </w:numPr>
        <w:spacing w:line="360" w:lineRule="auto"/>
        <w:rPr>
          <w:rFonts w:ascii="Times New Roman" w:hAnsi="Times New Roman"/>
          <w:sz w:val="24"/>
          <w:szCs w:val="24"/>
        </w:rPr>
      </w:pPr>
      <w:r w:rsidRPr="00F569C4">
        <w:rPr>
          <w:rFonts w:ascii="Times New Roman" w:hAnsi="Times New Roman"/>
          <w:sz w:val="24"/>
          <w:szCs w:val="24"/>
        </w:rPr>
        <w:t xml:space="preserve">get or give credit to worldwide exchange exchanges, and </w:t>
      </w:r>
    </w:p>
    <w:p w:rsidR="00F569C4" w:rsidRPr="00F569C4" w:rsidRDefault="00F569C4" w:rsidP="00CE168C">
      <w:pPr>
        <w:pStyle w:val="ListParagraph"/>
        <w:numPr>
          <w:ilvl w:val="0"/>
          <w:numId w:val="9"/>
        </w:numPr>
        <w:spacing w:line="360" w:lineRule="auto"/>
        <w:rPr>
          <w:rFonts w:ascii="Times New Roman" w:hAnsi="Times New Roman"/>
          <w:sz w:val="24"/>
          <w:szCs w:val="24"/>
        </w:rPr>
      </w:pPr>
      <w:r w:rsidRPr="00F569C4">
        <w:rPr>
          <w:rFonts w:ascii="Times New Roman" w:hAnsi="Times New Roman"/>
          <w:sz w:val="24"/>
          <w:szCs w:val="24"/>
        </w:rPr>
        <w:t xml:space="preserve">Limit introduction to the dangers of conversion scale changes. </w:t>
      </w:r>
    </w:p>
    <w:p w:rsidR="00213A41" w:rsidRPr="00F569C4" w:rsidRDefault="00F569C4" w:rsidP="00CE168C">
      <w:pPr>
        <w:pStyle w:val="ListParagraph"/>
        <w:numPr>
          <w:ilvl w:val="0"/>
          <w:numId w:val="9"/>
        </w:numPr>
        <w:spacing w:line="360" w:lineRule="auto"/>
        <w:rPr>
          <w:rFonts w:ascii="Times New Roman" w:hAnsi="Times New Roman"/>
          <w:sz w:val="24"/>
          <w:szCs w:val="24"/>
        </w:rPr>
      </w:pPr>
      <w:r w:rsidRPr="00F569C4">
        <w:rPr>
          <w:rFonts w:ascii="Times New Roman" w:hAnsi="Times New Roman"/>
          <w:sz w:val="24"/>
          <w:szCs w:val="24"/>
        </w:rPr>
        <w:t>The offices for supporting and hypothesis</w:t>
      </w:r>
    </w:p>
    <w:p w:rsidR="00CE168C" w:rsidRDefault="00CE168C" w:rsidP="007D23B1">
      <w:pPr>
        <w:rPr>
          <w:rFonts w:ascii="Times New Roman" w:hAnsi="Times New Roman"/>
          <w:sz w:val="24"/>
          <w:szCs w:val="24"/>
        </w:rPr>
      </w:pPr>
    </w:p>
    <w:p w:rsidR="00CE168C" w:rsidRDefault="00CE168C" w:rsidP="007D23B1">
      <w:pPr>
        <w:rPr>
          <w:rFonts w:ascii="Times New Roman" w:hAnsi="Times New Roman"/>
          <w:sz w:val="24"/>
          <w:szCs w:val="24"/>
        </w:rPr>
      </w:pPr>
    </w:p>
    <w:p w:rsidR="00CE168C" w:rsidRDefault="00CE168C" w:rsidP="007D23B1">
      <w:pPr>
        <w:rPr>
          <w:rFonts w:ascii="Times New Roman" w:hAnsi="Times New Roman"/>
          <w:sz w:val="24"/>
          <w:szCs w:val="24"/>
        </w:rPr>
      </w:pPr>
    </w:p>
    <w:p w:rsidR="00CE168C" w:rsidRDefault="00CE168C" w:rsidP="007D23B1">
      <w:pPr>
        <w:rPr>
          <w:rFonts w:ascii="Times New Roman" w:hAnsi="Times New Roman"/>
          <w:sz w:val="24"/>
          <w:szCs w:val="24"/>
        </w:rPr>
      </w:pPr>
    </w:p>
    <w:p w:rsidR="00CE168C" w:rsidRDefault="00CE168C" w:rsidP="007D23B1">
      <w:pPr>
        <w:rPr>
          <w:rFonts w:ascii="Times New Roman" w:hAnsi="Times New Roman"/>
          <w:sz w:val="24"/>
          <w:szCs w:val="24"/>
        </w:rPr>
      </w:pPr>
    </w:p>
    <w:p w:rsidR="00CC2C84" w:rsidRPr="00CE168C" w:rsidRDefault="00213A41" w:rsidP="00CE168C">
      <w:pPr>
        <w:rPr>
          <w:rFonts w:ascii="Times New Roman" w:hAnsi="Times New Roman"/>
          <w:b/>
          <w:sz w:val="28"/>
          <w:szCs w:val="24"/>
        </w:rPr>
      </w:pPr>
      <w:r w:rsidRPr="00CE168C">
        <w:rPr>
          <w:rFonts w:ascii="Times New Roman" w:hAnsi="Times New Roman"/>
          <w:b/>
          <w:sz w:val="28"/>
          <w:szCs w:val="24"/>
        </w:rPr>
        <w:lastRenderedPageBreak/>
        <w:t xml:space="preserve">Foreign Exchange rate in Pakistan </w:t>
      </w:r>
    </w:p>
    <w:tbl>
      <w:tblPr>
        <w:tblW w:w="10320" w:type="dxa"/>
        <w:shd w:val="clear" w:color="auto" w:fill="FFFFFF"/>
        <w:tblCellMar>
          <w:top w:w="75" w:type="dxa"/>
          <w:left w:w="75" w:type="dxa"/>
          <w:bottom w:w="75" w:type="dxa"/>
          <w:right w:w="75" w:type="dxa"/>
        </w:tblCellMar>
        <w:tblLook w:val="04A0" w:firstRow="1" w:lastRow="0" w:firstColumn="1" w:lastColumn="0" w:noHBand="0" w:noVBand="1"/>
      </w:tblPr>
      <w:tblGrid>
        <w:gridCol w:w="4958"/>
        <w:gridCol w:w="1812"/>
        <w:gridCol w:w="1699"/>
        <w:gridCol w:w="1851"/>
      </w:tblGrid>
      <w:tr w:rsidR="00421F81" w:rsidRPr="00721E65" w:rsidTr="00213A41">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caps/>
                <w:sz w:val="24"/>
                <w:szCs w:val="24"/>
              </w:rPr>
            </w:pPr>
            <w:r w:rsidRPr="00721E65">
              <w:rPr>
                <w:rFonts w:ascii="Times New Roman" w:hAnsi="Times New Roman"/>
                <w:b/>
                <w:bCs/>
                <w:caps/>
                <w:sz w:val="24"/>
                <w:szCs w:val="24"/>
              </w:rPr>
              <w:t>CURRENCY</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caps/>
                <w:sz w:val="24"/>
                <w:szCs w:val="24"/>
              </w:rPr>
            </w:pPr>
            <w:r w:rsidRPr="00721E65">
              <w:rPr>
                <w:rFonts w:ascii="Times New Roman" w:hAnsi="Times New Roman"/>
                <w:b/>
                <w:bCs/>
                <w:caps/>
                <w:sz w:val="24"/>
                <w:szCs w:val="24"/>
              </w:rPr>
              <w:t>SYMBOL</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caps/>
                <w:sz w:val="24"/>
                <w:szCs w:val="24"/>
              </w:rPr>
            </w:pPr>
            <w:r w:rsidRPr="00721E65">
              <w:rPr>
                <w:rFonts w:ascii="Times New Roman" w:hAnsi="Times New Roman"/>
                <w:b/>
                <w:bCs/>
                <w:caps/>
                <w:sz w:val="24"/>
                <w:szCs w:val="24"/>
              </w:rPr>
              <w:t>BUYING</w:t>
            </w:r>
          </w:p>
        </w:tc>
        <w:tc>
          <w:tcPr>
            <w:tcW w:w="0" w:type="auto"/>
            <w:tcBorders>
              <w:top w:val="single" w:sz="6" w:space="0" w:color="DEE2E6"/>
              <w:left w:val="single" w:sz="6" w:space="0" w:color="DEE2E6"/>
              <w:bottom w:val="single" w:sz="12"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caps/>
                <w:sz w:val="24"/>
                <w:szCs w:val="24"/>
              </w:rPr>
            </w:pPr>
            <w:r w:rsidRPr="00721E65">
              <w:rPr>
                <w:rFonts w:ascii="Times New Roman" w:hAnsi="Times New Roman"/>
                <w:b/>
                <w:bCs/>
                <w:caps/>
                <w:sz w:val="24"/>
                <w:szCs w:val="24"/>
              </w:rPr>
              <w:t>SELLING</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8"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24" name="Picture 24" descr="https://hamariweb.com/finance/images/USD.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mariweb.com/finance/images/USD.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US DOLLAR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USD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167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167.5</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10"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23" name="Picture 23" descr="https://hamariweb.com/finance/images/EU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mariweb.com/finance/images/EUR.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EURO</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EUR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187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191</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12"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22" name="Picture 22" descr="https://hamariweb.com/finance/images/GB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mariweb.com/finance/images/GBP.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BRITISH POUND</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GBP</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206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211</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14"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21" name="Picture 21" descr="https://hamariweb.com/finance/images/AED.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mariweb.com/finance/images/AED.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UAE DIRHAM</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AED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44.5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45</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16"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20" name="Picture 20" descr="https://hamariweb.com/finance/images/SAR.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mariweb.com/finance/images/SAR.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SAUDI RIYAL</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SAR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43.7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44.2</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18"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19" name="Picture 19" descr="https://hamariweb.com/finance/images/KWD.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mariweb.com/finance/images/KWD.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KUWAITI DINAR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KWD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516.5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519</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20"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18" name="Picture 18" descr="https://hamariweb.com/finance/images/CAD.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mariweb.com/finance/images/CAD.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CANADIAN DOLLAR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CAD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122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126</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22"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17" name="Picture 17" descr="https://hamariweb.com/finance/images/AUD.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mariweb.com/finance/images/AUD.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AUSTRALIAN DOLLAR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AUD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114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118</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24"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11" name="Picture 11" descr="https://hamariweb.com/finance/images/TH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mariweb.com/finance/images/THB.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THAI BHAT</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THB</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5.4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5.5</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26"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10" name="Picture 10" descr="https://hamariweb.com/finance/images/CNY.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mariweb.com/finance/images/CNY.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CHINESE YUAN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CNY</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23.6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23.75</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28"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9" name="Picture 9" descr="https://hamariweb.com/finance/images/HKD.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mariweb.com/finance/images/HKD.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HONG KONG DOLLAR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HKD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22.25</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30"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8" name="Picture 8" descr="https://hamariweb.com/finance/images/DK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mariweb.com/finance/images/DKK.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DANISH KRONE</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DKK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23.8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24.1</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32"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7" name="Picture 7" descr="https://hamariweb.com/finance/images/NZD.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mariweb.com/finance/images/NZD.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NEW ZEALAND DOLLAR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NZD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99.65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100.35</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34"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6" name="Picture 6" descr="https://hamariweb.com/finance/images/SGD.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amariweb.com/finance/images/SGD.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SINGAPORE DOLLAR</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SGD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116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119</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36"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5" name="Picture 5" descr="https://hamariweb.com/finance/images/NOK.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amariweb.com/finance/images/NOK.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NORWEGIANS KRONE</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NOK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16.88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17.13</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38"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4" name="Picture 4" descr="https://hamariweb.com/finance/images/SEK.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amariweb.com/finance/images/SEK.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SWEDISH KRONA</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SEK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17.45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17.7</w:t>
            </w:r>
          </w:p>
        </w:tc>
      </w:tr>
      <w:tr w:rsidR="00421F81" w:rsidRPr="00721E65" w:rsidTr="00213A41">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997975" w:rsidP="007D23B1">
            <w:pPr>
              <w:spacing w:after="0"/>
              <w:rPr>
                <w:rFonts w:ascii="Times New Roman" w:hAnsi="Times New Roman"/>
                <w:sz w:val="23"/>
                <w:szCs w:val="23"/>
              </w:rPr>
            </w:pPr>
            <w:hyperlink r:id="rId40" w:history="1">
              <w:r w:rsidR="00213A41" w:rsidRPr="00721E65">
                <w:rPr>
                  <w:rFonts w:ascii="Times New Roman" w:hAnsi="Times New Roman"/>
                  <w:b/>
                  <w:bCs/>
                  <w:caps/>
                  <w:noProof/>
                  <w:spacing w:val="10"/>
                  <w:sz w:val="23"/>
                  <w:szCs w:val="23"/>
                </w:rPr>
                <w:drawing>
                  <wp:inline distT="0" distB="0" distL="0" distR="0">
                    <wp:extent cx="154305" cy="102870"/>
                    <wp:effectExtent l="0" t="0" r="0" b="0"/>
                    <wp:docPr id="2" name="Picture 2" descr="https://hamariweb.com/finance/images/INR.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amariweb.com/finance/images/INR.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4305" cy="102870"/>
                            </a:xfrm>
                            <a:prstGeom prst="rect">
                              <a:avLst/>
                            </a:prstGeom>
                            <a:noFill/>
                            <a:ln>
                              <a:noFill/>
                            </a:ln>
                          </pic:spPr>
                        </pic:pic>
                      </a:graphicData>
                    </a:graphic>
                  </wp:inline>
                </w:drawing>
              </w:r>
              <w:r w:rsidR="00213A41" w:rsidRPr="00721E65">
                <w:rPr>
                  <w:rFonts w:ascii="Times New Roman" w:hAnsi="Times New Roman"/>
                  <w:b/>
                  <w:bCs/>
                  <w:caps/>
                  <w:spacing w:val="10"/>
                  <w:sz w:val="23"/>
                  <w:szCs w:val="23"/>
                </w:rPr>
                <w:t> INDIAN RUPEE</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sz w:val="23"/>
                <w:szCs w:val="23"/>
              </w:rPr>
            </w:pPr>
            <w:r w:rsidRPr="00721E65">
              <w:rPr>
                <w:rFonts w:ascii="Times New Roman" w:hAnsi="Times New Roman"/>
                <w:sz w:val="23"/>
                <w:szCs w:val="23"/>
              </w:rPr>
              <w:t>INR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2.11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Mar>
              <w:top w:w="150" w:type="dxa"/>
              <w:left w:w="120" w:type="dxa"/>
              <w:bottom w:w="150" w:type="dxa"/>
              <w:right w:w="120" w:type="dxa"/>
            </w:tcMar>
            <w:vAlign w:val="center"/>
            <w:hideMark/>
          </w:tcPr>
          <w:p w:rsidR="00213A41" w:rsidRPr="00721E65" w:rsidRDefault="00213A41" w:rsidP="007D23B1">
            <w:pPr>
              <w:spacing w:after="0"/>
              <w:jc w:val="center"/>
              <w:rPr>
                <w:rFonts w:ascii="Times New Roman" w:hAnsi="Times New Roman"/>
                <w:b/>
                <w:bCs/>
                <w:sz w:val="23"/>
                <w:szCs w:val="23"/>
              </w:rPr>
            </w:pPr>
            <w:r w:rsidRPr="00721E65">
              <w:rPr>
                <w:rFonts w:ascii="Times New Roman" w:hAnsi="Times New Roman"/>
                <w:b/>
                <w:bCs/>
                <w:sz w:val="23"/>
                <w:szCs w:val="23"/>
              </w:rPr>
              <w:t>2.18</w:t>
            </w:r>
          </w:p>
        </w:tc>
      </w:tr>
    </w:tbl>
    <w:p w:rsidR="00C117D3" w:rsidRPr="00721E65" w:rsidRDefault="00C117D3" w:rsidP="007D23B1">
      <w:pPr>
        <w:rPr>
          <w:rFonts w:ascii="Times New Roman" w:hAnsi="Times New Roman"/>
          <w:shd w:val="clear" w:color="auto" w:fill="FFFFFF"/>
        </w:rPr>
      </w:pPr>
    </w:p>
    <w:p w:rsidR="00C117D3" w:rsidRPr="00721E65" w:rsidRDefault="006B7383" w:rsidP="007D23B1">
      <w:pPr>
        <w:rPr>
          <w:rFonts w:ascii="Times New Roman" w:hAnsi="Times New Roman"/>
          <w:shd w:val="clear" w:color="auto" w:fill="FFFFFF"/>
        </w:rPr>
      </w:pPr>
      <w:r>
        <w:rPr>
          <w:rFonts w:ascii="Times New Roman" w:hAnsi="Times New Roman"/>
          <w:shd w:val="clear" w:color="auto" w:fill="FFFFFF"/>
        </w:rPr>
        <w:t>----------------------------------------------------------------------------------------</w:t>
      </w:r>
      <w:r w:rsidR="00CE168C">
        <w:rPr>
          <w:rFonts w:ascii="Times New Roman" w:hAnsi="Times New Roman"/>
          <w:shd w:val="clear" w:color="auto" w:fill="FFFFFF"/>
        </w:rPr>
        <w:t>-------------------------------</w:t>
      </w:r>
    </w:p>
    <w:p w:rsidR="00C117D3" w:rsidRPr="00721E65" w:rsidRDefault="006B7383" w:rsidP="007D23B1">
      <w:pPr>
        <w:rPr>
          <w:rFonts w:ascii="Times New Roman" w:hAnsi="Times New Roman"/>
          <w:b/>
          <w:sz w:val="28"/>
          <w:shd w:val="clear" w:color="auto" w:fill="FFFFFF"/>
        </w:rPr>
      </w:pPr>
      <w:r>
        <w:rPr>
          <w:rFonts w:ascii="Times New Roman" w:hAnsi="Times New Roman"/>
          <w:b/>
          <w:sz w:val="28"/>
          <w:shd w:val="clear" w:color="auto" w:fill="FFFFFF"/>
        </w:rPr>
        <w:lastRenderedPageBreak/>
        <w:t>Q3.</w:t>
      </w:r>
      <w:r w:rsidR="00C117D3" w:rsidRPr="00721E65">
        <w:rPr>
          <w:rFonts w:ascii="Times New Roman" w:hAnsi="Times New Roman"/>
          <w:b/>
          <w:sz w:val="28"/>
          <w:shd w:val="clear" w:color="auto" w:fill="FFFFFF"/>
        </w:rPr>
        <w:t>PART-B</w:t>
      </w:r>
    </w:p>
    <w:p w:rsidR="00C117D3" w:rsidRPr="00721E65" w:rsidRDefault="00C117D3" w:rsidP="007D23B1">
      <w:pPr>
        <w:rPr>
          <w:rFonts w:ascii="Times New Roman" w:hAnsi="Times New Roman"/>
          <w:b/>
          <w:sz w:val="28"/>
          <w:shd w:val="clear" w:color="auto" w:fill="FFFFFF"/>
        </w:rPr>
      </w:pPr>
      <w:r w:rsidRPr="00721E65">
        <w:rPr>
          <w:rFonts w:ascii="Times New Roman" w:hAnsi="Times New Roman"/>
          <w:b/>
          <w:sz w:val="32"/>
          <w:szCs w:val="25"/>
        </w:rPr>
        <w:t>Critically analyze the Federal Budget 2020-21?</w:t>
      </w:r>
    </w:p>
    <w:p w:rsidR="00C117D3" w:rsidRPr="00721E65" w:rsidRDefault="00C117D3" w:rsidP="007D23B1">
      <w:pPr>
        <w:rPr>
          <w:rFonts w:ascii="Times New Roman" w:hAnsi="Times New Roman"/>
          <w:b/>
          <w:sz w:val="24"/>
          <w:szCs w:val="24"/>
        </w:rPr>
      </w:pPr>
      <w:r w:rsidRPr="00721E65">
        <w:rPr>
          <w:rFonts w:ascii="Times New Roman" w:hAnsi="Times New Roman"/>
          <w:b/>
          <w:sz w:val="24"/>
          <w:szCs w:val="24"/>
        </w:rPr>
        <w:t>Budget analysis:</w:t>
      </w:r>
    </w:p>
    <w:p w:rsidR="00F9413D" w:rsidRDefault="00F9413D" w:rsidP="007D23B1">
      <w:pPr>
        <w:spacing w:after="255"/>
        <w:jc w:val="both"/>
        <w:rPr>
          <w:rFonts w:ascii="Times New Roman" w:hAnsi="Times New Roman"/>
          <w:sz w:val="24"/>
          <w:szCs w:val="24"/>
          <w:shd w:val="clear" w:color="auto" w:fill="FFFFFF"/>
        </w:rPr>
      </w:pPr>
      <w:r w:rsidRPr="00F9413D">
        <w:rPr>
          <w:rFonts w:ascii="Times New Roman" w:hAnsi="Times New Roman"/>
          <w:sz w:val="24"/>
          <w:szCs w:val="24"/>
          <w:shd w:val="clear" w:color="auto" w:fill="FFFFFF"/>
        </w:rPr>
        <w:t>The federal budget for the fiscal year 2020-2021 comes at a difficult time when monetary development everywhere throughout the world has been seriously affected by the coronavirus pandemic. Apparently the legislature has endeavored to make a positive spending plan so as to give a type of help to the everyday citizens and ruled against troubling them with another arrangement of assessments. This, the administration trusts, would contribute in restoring monetary action that has deteriorated during the most recent couple of months.</w:t>
      </w:r>
    </w:p>
    <w:p w:rsidR="00C117D3" w:rsidRPr="00721E65" w:rsidRDefault="00C117D3" w:rsidP="007D23B1">
      <w:pPr>
        <w:spacing w:after="255"/>
        <w:jc w:val="both"/>
        <w:rPr>
          <w:rFonts w:ascii="Times New Roman" w:hAnsi="Times New Roman"/>
          <w:b/>
          <w:sz w:val="24"/>
          <w:szCs w:val="24"/>
        </w:rPr>
      </w:pPr>
      <w:r w:rsidRPr="00721E65">
        <w:rPr>
          <w:rFonts w:ascii="Times New Roman" w:hAnsi="Times New Roman"/>
          <w:b/>
          <w:sz w:val="24"/>
          <w:szCs w:val="24"/>
        </w:rPr>
        <w:t>The budget 2020-21 has the following salient features:</w:t>
      </w: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Total outlay of budget</w:t>
      </w:r>
      <w:r w:rsidR="00276EC7">
        <w:rPr>
          <w:rFonts w:ascii="Times New Roman" w:hAnsi="Times New Roman"/>
          <w:sz w:val="24"/>
          <w:szCs w:val="24"/>
        </w:rPr>
        <w:t xml:space="preserve"> of Pakistan</w:t>
      </w:r>
      <w:r w:rsidRPr="00F9413D">
        <w:rPr>
          <w:rFonts w:ascii="Times New Roman" w:hAnsi="Times New Roman"/>
          <w:sz w:val="24"/>
          <w:szCs w:val="24"/>
        </w:rPr>
        <w:t xml:space="preserve"> 2020-21 is Rs 7,294.9 billion. This size is 11 percent lower than the size of spending gauges 2019-20.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asset accessibility during 2020-21 has been evaluated at Rs 6,314.9 billion against Rs 4,917.2 billion in the spending assessments of 2019-20.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net income receipts for 2020-21 have been assessed at Rs 3,699.5 billion demonstrating an expansion of 6.7 percent over the spending appraisals of 2019-20.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commonplace offer in government charges is evaluated at Rs 2,873.7 billion during 2020-21, which is 11.7 percent lower than the spending gauges for 2019-20.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net capital receipts for 2020-21 have been assessed at Rs 1,463.2 billion against the spending evaluations of Rs 831.7 billion of every 2019-20 mirroring an expansion of 75.93 percent.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outer receipts in 2020-21 are evaluated at Rs 2,222.9 billion. This shows a reduction of 26.7 percent over the spending gauges for 2019-20.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general consumption during 2020-21 has been assessed at Rs 7,294.9 billion, out of which the current use is Rs 6,345 billion. </w:t>
      </w:r>
    </w:p>
    <w:p w:rsidR="00F9413D" w:rsidRPr="00F9413D" w:rsidRDefault="00F9413D" w:rsidP="007D23B1">
      <w:pPr>
        <w:spacing w:after="0"/>
        <w:rPr>
          <w:rFonts w:ascii="Times New Roman" w:hAnsi="Times New Roman"/>
          <w:sz w:val="24"/>
          <w:szCs w:val="24"/>
        </w:rPr>
      </w:pPr>
    </w:p>
    <w:p w:rsidR="00F9413D" w:rsidRPr="00F9413D" w:rsidRDefault="00F9413D" w:rsidP="007D23B1">
      <w:pPr>
        <w:spacing w:after="0"/>
        <w:rPr>
          <w:rFonts w:ascii="Times New Roman" w:hAnsi="Times New Roman"/>
          <w:sz w:val="24"/>
          <w:szCs w:val="24"/>
        </w:rPr>
      </w:pPr>
      <w:r w:rsidRPr="00F9413D">
        <w:rPr>
          <w:rFonts w:ascii="Times New Roman" w:hAnsi="Times New Roman"/>
          <w:sz w:val="24"/>
          <w:szCs w:val="24"/>
        </w:rPr>
        <w:t xml:space="preserve">The advancement use outside PSDP has been evaluated at Rs 70 billion in the financial plan 2020-21. </w:t>
      </w:r>
    </w:p>
    <w:p w:rsidR="00F9413D" w:rsidRPr="00F9413D" w:rsidRDefault="00F9413D" w:rsidP="007D23B1">
      <w:pPr>
        <w:spacing w:after="0"/>
        <w:rPr>
          <w:rFonts w:ascii="Times New Roman" w:hAnsi="Times New Roman"/>
          <w:sz w:val="24"/>
          <w:szCs w:val="24"/>
        </w:rPr>
      </w:pPr>
    </w:p>
    <w:p w:rsidR="00C117D3" w:rsidRDefault="00F9413D" w:rsidP="007D23B1">
      <w:pPr>
        <w:spacing w:after="0"/>
        <w:rPr>
          <w:rFonts w:ascii="Times New Roman" w:hAnsi="Times New Roman"/>
          <w:sz w:val="24"/>
          <w:szCs w:val="24"/>
        </w:rPr>
      </w:pPr>
      <w:r w:rsidRPr="00F9413D">
        <w:rPr>
          <w:rFonts w:ascii="Times New Roman" w:hAnsi="Times New Roman"/>
          <w:sz w:val="24"/>
          <w:szCs w:val="24"/>
        </w:rPr>
        <w:lastRenderedPageBreak/>
        <w:t>The size of Public Sector Development Program (PSDP) for 2020-21 is Rs 1,324 billion. Out of this, Rs 676 billion has been apportioned to regions.</w:t>
      </w:r>
    </w:p>
    <w:p w:rsidR="00F9413D" w:rsidRPr="00721E65" w:rsidRDefault="00F9413D" w:rsidP="007D23B1">
      <w:pPr>
        <w:spacing w:after="0"/>
        <w:rPr>
          <w:rFonts w:ascii="Times New Roman" w:hAnsi="Times New Roman"/>
          <w:sz w:val="24"/>
          <w:szCs w:val="24"/>
        </w:rPr>
      </w:pPr>
    </w:p>
    <w:p w:rsidR="00C117D3" w:rsidRPr="00107567" w:rsidRDefault="00C117D3" w:rsidP="007D23B1">
      <w:pPr>
        <w:spacing w:after="255"/>
        <w:jc w:val="both"/>
        <w:rPr>
          <w:rFonts w:ascii="Times New Roman" w:hAnsi="Times New Roman"/>
          <w:b/>
          <w:sz w:val="28"/>
          <w:szCs w:val="24"/>
        </w:rPr>
      </w:pPr>
      <w:r w:rsidRPr="00107567">
        <w:rPr>
          <w:rFonts w:ascii="Times New Roman" w:hAnsi="Times New Roman"/>
          <w:b/>
          <w:sz w:val="28"/>
          <w:szCs w:val="24"/>
        </w:rPr>
        <w:t>REVENUE RECEIPTS:</w:t>
      </w:r>
    </w:p>
    <w:p w:rsidR="00F9413D" w:rsidRPr="00F9413D" w:rsidRDefault="00F9413D" w:rsidP="007D23B1">
      <w:pPr>
        <w:spacing w:after="255"/>
        <w:jc w:val="both"/>
        <w:rPr>
          <w:rFonts w:ascii="Times New Roman" w:hAnsi="Times New Roman"/>
          <w:sz w:val="24"/>
          <w:szCs w:val="24"/>
        </w:rPr>
      </w:pPr>
      <w:r w:rsidRPr="00F9413D">
        <w:rPr>
          <w:rFonts w:ascii="Times New Roman" w:hAnsi="Times New Roman"/>
          <w:sz w:val="24"/>
          <w:szCs w:val="24"/>
        </w:rPr>
        <w:t>All out Federal Board of Revenue charges for the</w:t>
      </w:r>
      <w:r>
        <w:rPr>
          <w:rFonts w:ascii="Times New Roman" w:hAnsi="Times New Roman"/>
          <w:sz w:val="24"/>
          <w:szCs w:val="24"/>
        </w:rPr>
        <w:t xml:space="preserve"> year 2020-21 are evaluated at </w:t>
      </w:r>
      <w:r w:rsidRPr="00F9413D">
        <w:rPr>
          <w:rFonts w:ascii="Times New Roman" w:hAnsi="Times New Roman"/>
          <w:sz w:val="24"/>
          <w:szCs w:val="24"/>
        </w:rPr>
        <w:t>Rs 4,963</w:t>
      </w:r>
      <w:r>
        <w:rPr>
          <w:rFonts w:ascii="Times New Roman" w:hAnsi="Times New Roman"/>
          <w:sz w:val="24"/>
          <w:szCs w:val="24"/>
        </w:rPr>
        <w:t xml:space="preserve"> billion. </w:t>
      </w:r>
    </w:p>
    <w:p w:rsidR="00F9413D" w:rsidRPr="00F9413D" w:rsidRDefault="00F9413D" w:rsidP="007D23B1">
      <w:pPr>
        <w:spacing w:after="255"/>
        <w:jc w:val="both"/>
        <w:rPr>
          <w:rFonts w:ascii="Times New Roman" w:hAnsi="Times New Roman"/>
          <w:sz w:val="24"/>
          <w:szCs w:val="24"/>
        </w:rPr>
      </w:pPr>
      <w:r w:rsidRPr="00F9413D">
        <w:rPr>
          <w:rFonts w:ascii="Times New Roman" w:hAnsi="Times New Roman"/>
          <w:sz w:val="24"/>
          <w:szCs w:val="24"/>
        </w:rPr>
        <w:t xml:space="preserve">Non-charge incomes for the </w:t>
      </w:r>
      <w:r w:rsidR="007D23B1" w:rsidRPr="00F9413D">
        <w:rPr>
          <w:rFonts w:ascii="Times New Roman" w:hAnsi="Times New Roman"/>
          <w:sz w:val="24"/>
          <w:szCs w:val="24"/>
        </w:rPr>
        <w:t>upcoming</w:t>
      </w:r>
      <w:r w:rsidRPr="00F9413D">
        <w:rPr>
          <w:rFonts w:ascii="Times New Roman" w:hAnsi="Times New Roman"/>
          <w:sz w:val="24"/>
          <w:szCs w:val="24"/>
        </w:rPr>
        <w:t xml:space="preserve"> year are a</w:t>
      </w:r>
      <w:r>
        <w:rPr>
          <w:rFonts w:ascii="Times New Roman" w:hAnsi="Times New Roman"/>
          <w:sz w:val="24"/>
          <w:szCs w:val="24"/>
        </w:rPr>
        <w:t xml:space="preserve">ssessed at Rs 1,108.9 billion. </w:t>
      </w:r>
    </w:p>
    <w:p w:rsidR="00F9413D" w:rsidRPr="00F9413D" w:rsidRDefault="00F9413D" w:rsidP="007D23B1">
      <w:pPr>
        <w:spacing w:after="255"/>
        <w:jc w:val="both"/>
        <w:rPr>
          <w:rFonts w:ascii="Times New Roman" w:hAnsi="Times New Roman"/>
          <w:sz w:val="24"/>
          <w:szCs w:val="24"/>
        </w:rPr>
      </w:pPr>
      <w:r w:rsidRPr="00F9413D">
        <w:rPr>
          <w:rFonts w:ascii="Times New Roman" w:hAnsi="Times New Roman"/>
          <w:sz w:val="24"/>
          <w:szCs w:val="24"/>
        </w:rPr>
        <w:t>Net income receipts are assessed at Rs 6,573.22 billion out of which commonpl</w:t>
      </w:r>
      <w:r>
        <w:rPr>
          <w:rFonts w:ascii="Times New Roman" w:hAnsi="Times New Roman"/>
          <w:sz w:val="24"/>
          <w:szCs w:val="24"/>
        </w:rPr>
        <w:t xml:space="preserve">ace offer is Rs 2,873 billion. </w:t>
      </w:r>
    </w:p>
    <w:p w:rsidR="00F9413D" w:rsidRDefault="00F9413D" w:rsidP="007D23B1">
      <w:pPr>
        <w:spacing w:after="255"/>
        <w:jc w:val="both"/>
        <w:rPr>
          <w:rFonts w:ascii="Times New Roman" w:hAnsi="Times New Roman"/>
          <w:sz w:val="24"/>
          <w:szCs w:val="24"/>
        </w:rPr>
      </w:pPr>
      <w:r w:rsidRPr="00F9413D">
        <w:rPr>
          <w:rFonts w:ascii="Times New Roman" w:hAnsi="Times New Roman"/>
          <w:sz w:val="24"/>
          <w:szCs w:val="24"/>
        </w:rPr>
        <w:t>The net income receipts for central government in spending plan 2020-21 are evaluated at Rs 3,699 billion, demonstrating an expansion of 6.8 percent over the spending appraisals of 2019-20 and 19.24 percent over modified assessments of active monetary year 2019-20.</w:t>
      </w:r>
    </w:p>
    <w:p w:rsidR="00C117D3" w:rsidRPr="00107567" w:rsidRDefault="00C117D3" w:rsidP="007D23B1">
      <w:pPr>
        <w:spacing w:after="255"/>
        <w:jc w:val="both"/>
        <w:rPr>
          <w:rFonts w:ascii="Times New Roman" w:hAnsi="Times New Roman"/>
          <w:b/>
          <w:sz w:val="28"/>
          <w:szCs w:val="24"/>
        </w:rPr>
      </w:pPr>
      <w:r w:rsidRPr="00107567">
        <w:rPr>
          <w:rFonts w:ascii="Times New Roman" w:hAnsi="Times New Roman"/>
          <w:b/>
          <w:sz w:val="28"/>
          <w:szCs w:val="24"/>
        </w:rPr>
        <w:t>EXTERNAL RESOURCES:</w:t>
      </w:r>
    </w:p>
    <w:p w:rsidR="00C117D3" w:rsidRPr="00721E65" w:rsidRDefault="008743C5" w:rsidP="007D23B1">
      <w:pPr>
        <w:spacing w:after="0"/>
        <w:rPr>
          <w:rFonts w:ascii="Times New Roman" w:hAnsi="Times New Roman"/>
          <w:sz w:val="24"/>
          <w:szCs w:val="24"/>
        </w:rPr>
      </w:pPr>
      <w:r w:rsidRPr="008743C5">
        <w:rPr>
          <w:rFonts w:ascii="Times New Roman" w:hAnsi="Times New Roman"/>
          <w:sz w:val="24"/>
          <w:szCs w:val="24"/>
        </w:rPr>
        <w:t xml:space="preserve"> The legislature acquired credits and awards to overcome </w:t>
      </w:r>
      <w:r w:rsidR="007D23B1">
        <w:rPr>
          <w:rFonts w:ascii="Times New Roman" w:hAnsi="Times New Roman"/>
          <w:sz w:val="24"/>
          <w:szCs w:val="24"/>
        </w:rPr>
        <w:t>any barrier between the income</w:t>
      </w:r>
      <w:r w:rsidRPr="008743C5">
        <w:rPr>
          <w:rFonts w:ascii="Times New Roman" w:hAnsi="Times New Roman"/>
          <w:sz w:val="24"/>
          <w:szCs w:val="24"/>
        </w:rPr>
        <w:t xml:space="preserve"> and expenditure. The net outer assets for 2020-21 after derivation of remote advances reimbursement (Rs 1,228 billion) and reimbursement of momentary credits (Rs 183 billion) have been anticipated at Rs 810.34 billion are lower by 73 percent and 64.34 percent separately when contrasted and spending plan and changed assessments 2019-20.</w:t>
      </w:r>
      <w:r w:rsidR="00C117D3" w:rsidRPr="00721E65">
        <w:rPr>
          <w:rFonts w:ascii="Times New Roman" w:hAnsi="Times New Roman"/>
          <w:sz w:val="24"/>
          <w:szCs w:val="24"/>
        </w:rPr>
        <w:fldChar w:fldCharType="begin"/>
      </w:r>
      <w:r w:rsidR="00C117D3" w:rsidRPr="00721E65">
        <w:rPr>
          <w:rFonts w:ascii="Times New Roman" w:hAnsi="Times New Roman"/>
          <w:sz w:val="24"/>
          <w:szCs w:val="24"/>
        </w:rPr>
        <w:instrText xml:space="preserve"> HYPERLINK "https://nation.com.pk/26-Jun-2020/pakistan-s-confirmed-covid-19-cases-soar-to-195-745" </w:instrText>
      </w:r>
      <w:r w:rsidR="00C117D3" w:rsidRPr="00721E65">
        <w:rPr>
          <w:rFonts w:ascii="Times New Roman" w:hAnsi="Times New Roman"/>
          <w:sz w:val="24"/>
          <w:szCs w:val="24"/>
        </w:rPr>
        <w:fldChar w:fldCharType="separate"/>
      </w:r>
    </w:p>
    <w:p w:rsidR="007D23B1" w:rsidRPr="007D23B1" w:rsidRDefault="00C117D3" w:rsidP="007D23B1">
      <w:pPr>
        <w:spacing w:after="0"/>
        <w:rPr>
          <w:rFonts w:ascii="Times New Roman" w:hAnsi="Times New Roman"/>
          <w:sz w:val="24"/>
          <w:szCs w:val="24"/>
        </w:rPr>
      </w:pPr>
      <w:r w:rsidRPr="00721E65">
        <w:rPr>
          <w:rFonts w:ascii="Times New Roman" w:hAnsi="Times New Roman"/>
          <w:sz w:val="24"/>
          <w:szCs w:val="24"/>
        </w:rPr>
        <w:fldChar w:fldCharType="end"/>
      </w:r>
    </w:p>
    <w:p w:rsidR="00C117D3" w:rsidRPr="00107567" w:rsidRDefault="00C117D3" w:rsidP="007D23B1">
      <w:pPr>
        <w:spacing w:after="255"/>
        <w:jc w:val="both"/>
        <w:rPr>
          <w:rFonts w:ascii="Times New Roman" w:hAnsi="Times New Roman"/>
          <w:b/>
          <w:sz w:val="28"/>
          <w:szCs w:val="24"/>
        </w:rPr>
      </w:pPr>
      <w:r w:rsidRPr="00107567">
        <w:rPr>
          <w:rFonts w:ascii="Times New Roman" w:hAnsi="Times New Roman"/>
          <w:b/>
          <w:sz w:val="28"/>
          <w:szCs w:val="24"/>
        </w:rPr>
        <w:t>Current Expenditures:</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Total current expenditures of federal gove</w:t>
      </w:r>
      <w:r w:rsidR="009D49BA">
        <w:rPr>
          <w:rFonts w:ascii="Times New Roman" w:hAnsi="Times New Roman"/>
          <w:sz w:val="24"/>
          <w:szCs w:val="24"/>
        </w:rPr>
        <w:t>rnment for the year 2020-21 is</w:t>
      </w:r>
      <w:r w:rsidRPr="008743C5">
        <w:rPr>
          <w:rFonts w:ascii="Times New Roman" w:hAnsi="Times New Roman"/>
          <w:sz w:val="24"/>
          <w:szCs w:val="24"/>
        </w:rPr>
        <w:t xml:space="preserve"> Rs 6,344 billion which are 16.7 percent and 12.99 percent lower when contrasted with the reconsidered estimation and genuine estimation of cu</w:t>
      </w:r>
      <w:r>
        <w:rPr>
          <w:rFonts w:ascii="Times New Roman" w:hAnsi="Times New Roman"/>
          <w:sz w:val="24"/>
          <w:szCs w:val="24"/>
        </w:rPr>
        <w:t xml:space="preserve">rrent uses during active year.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 xml:space="preserve">Mark-up installments for the year 2020-21 have been assessed at Rs 2,946 billion out of which Rs 2,631 billion would be paid on residential obligation and Rs 315 billion on outside obligation.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 xml:space="preserve">Expenditures of Rs 470 billion have been assessed for benefits which are 1.4 percent higher when contrasted with the updated evaluations of Rs 463.4 billion for the active year 2019-20.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For Defense Affairs and Services, a measure of Rs 1,289 billion has been evaluated for the year 2020-21 contrasted with overhauled estimation of Rs 1,227 billion for the active monetary year 2019-20.  For awards and moves, Rs 904 billion have been evaluated against overhauled estimation of Rs 1,177 billion for the year 2019-20. Subsidies have been evaluated at Rs 209 billion against overhauled estimation of</w:t>
      </w:r>
      <w:r>
        <w:rPr>
          <w:rFonts w:ascii="Times New Roman" w:hAnsi="Times New Roman"/>
          <w:sz w:val="24"/>
          <w:szCs w:val="24"/>
        </w:rPr>
        <w:t xml:space="preserve"> Rs 349.5 billion for 2019-20. </w:t>
      </w:r>
      <w:r w:rsidRPr="008743C5">
        <w:rPr>
          <w:rFonts w:ascii="Times New Roman" w:hAnsi="Times New Roman"/>
          <w:sz w:val="24"/>
          <w:szCs w:val="24"/>
        </w:rPr>
        <w:t xml:space="preserve">For running of Civil government, Rs 475.7 billion have been evaluated for the monetary year 2020-21 against </w:t>
      </w:r>
      <w:r w:rsidRPr="008743C5">
        <w:rPr>
          <w:rFonts w:ascii="Times New Roman" w:hAnsi="Times New Roman"/>
          <w:sz w:val="24"/>
          <w:szCs w:val="24"/>
        </w:rPr>
        <w:lastRenderedPageBreak/>
        <w:t>updated consumptions of Rs 4</w:t>
      </w:r>
      <w:r>
        <w:rPr>
          <w:rFonts w:ascii="Times New Roman" w:hAnsi="Times New Roman"/>
          <w:sz w:val="24"/>
          <w:szCs w:val="24"/>
        </w:rPr>
        <w:t xml:space="preserve">45.8 billion of every 2019-20. </w:t>
      </w:r>
      <w:r w:rsidRPr="008743C5">
        <w:rPr>
          <w:rFonts w:ascii="Times New Roman" w:hAnsi="Times New Roman"/>
          <w:sz w:val="24"/>
          <w:szCs w:val="24"/>
        </w:rPr>
        <w:t xml:space="preserve">The legislature has set the spending sum at Rs 7,294.9 billion.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The government spending plan for the money related year 2020-21 will have a</w:t>
      </w:r>
      <w:r>
        <w:rPr>
          <w:rFonts w:ascii="Times New Roman" w:hAnsi="Times New Roman"/>
          <w:sz w:val="24"/>
          <w:szCs w:val="24"/>
        </w:rPr>
        <w:t xml:space="preserve"> shortage of Rs 3,500 billion. </w:t>
      </w:r>
      <w:r w:rsidRPr="008743C5">
        <w:rPr>
          <w:rFonts w:ascii="Times New Roman" w:hAnsi="Times New Roman"/>
          <w:sz w:val="24"/>
          <w:szCs w:val="24"/>
        </w:rPr>
        <w:t xml:space="preserve">To give help to the individuals, there is no new duty in the 2020-21 spending plan. There will be no duty on coronavirus and malignant growth determination packs and the import charges on child's food supplement and diet food have been annulled as well. Expense exception is being given to abroad Pakistanis over the interest in sparing bills, and the development charge on auto carts, bike carts and up to 200cc bikes has been annulled.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The business charge rate for huge retailers has been diminished from 14 to 12 %. The choice was taken to encourage them as a resu</w:t>
      </w:r>
      <w:r>
        <w:rPr>
          <w:rFonts w:ascii="Times New Roman" w:hAnsi="Times New Roman"/>
          <w:sz w:val="24"/>
          <w:szCs w:val="24"/>
        </w:rPr>
        <w:t xml:space="preserve">lt of the coronavirus episode. </w:t>
      </w:r>
      <w:r w:rsidRPr="008743C5">
        <w:rPr>
          <w:rFonts w:ascii="Times New Roman" w:hAnsi="Times New Roman"/>
          <w:sz w:val="24"/>
          <w:szCs w:val="24"/>
        </w:rPr>
        <w:t xml:space="preserve">The administration has designated Rs208 billion for the </w:t>
      </w:r>
      <w:proofErr w:type="spellStart"/>
      <w:r w:rsidRPr="008743C5">
        <w:rPr>
          <w:rFonts w:ascii="Times New Roman" w:hAnsi="Times New Roman"/>
          <w:sz w:val="24"/>
          <w:szCs w:val="24"/>
        </w:rPr>
        <w:t>Ehsaas</w:t>
      </w:r>
      <w:proofErr w:type="spellEnd"/>
      <w:r w:rsidRPr="008743C5">
        <w:rPr>
          <w:rFonts w:ascii="Times New Roman" w:hAnsi="Times New Roman"/>
          <w:sz w:val="24"/>
          <w:szCs w:val="24"/>
        </w:rPr>
        <w:t xml:space="preserve"> Program for the lightening of need</w:t>
      </w:r>
      <w:r>
        <w:rPr>
          <w:rFonts w:ascii="Times New Roman" w:hAnsi="Times New Roman"/>
          <w:sz w:val="24"/>
          <w:szCs w:val="24"/>
        </w:rPr>
        <w:t xml:space="preserve">iness and helping poor people. </w:t>
      </w:r>
      <w:r w:rsidRPr="008743C5">
        <w:rPr>
          <w:rFonts w:ascii="Times New Roman" w:hAnsi="Times New Roman"/>
          <w:sz w:val="24"/>
          <w:szCs w:val="24"/>
        </w:rPr>
        <w:t>The assets for advanced education have been reserved at 34 billion, while Rs 180 billion will be burnt through on effort</w:t>
      </w:r>
      <w:r>
        <w:rPr>
          <w:rFonts w:ascii="Times New Roman" w:hAnsi="Times New Roman"/>
          <w:sz w:val="24"/>
          <w:szCs w:val="24"/>
        </w:rPr>
        <w:t xml:space="preserve">, food and different segments. </w:t>
      </w:r>
      <w:r w:rsidRPr="008743C5">
        <w:rPr>
          <w:rFonts w:ascii="Times New Roman" w:hAnsi="Times New Roman"/>
          <w:sz w:val="24"/>
          <w:szCs w:val="24"/>
        </w:rPr>
        <w:t xml:space="preserve">Assets worth Rs30 billion will be spent on the </w:t>
      </w:r>
      <w:proofErr w:type="spellStart"/>
      <w:r w:rsidRPr="008743C5">
        <w:rPr>
          <w:rFonts w:ascii="Times New Roman" w:hAnsi="Times New Roman"/>
          <w:sz w:val="24"/>
          <w:szCs w:val="24"/>
        </w:rPr>
        <w:t>Naya</w:t>
      </w:r>
      <w:proofErr w:type="spellEnd"/>
      <w:r w:rsidRPr="008743C5">
        <w:rPr>
          <w:rFonts w:ascii="Times New Roman" w:hAnsi="Times New Roman"/>
          <w:sz w:val="24"/>
          <w:szCs w:val="24"/>
        </w:rPr>
        <w:t xml:space="preserve"> Pakistan Housing Scheme which means to construct 10 million houses for the poor in Pakistan.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 xml:space="preserve">Pakistan Railways will be given Rs40 billion and Rs13 billion have been assigned for the government-run medical </w:t>
      </w:r>
      <w:r>
        <w:rPr>
          <w:rFonts w:ascii="Times New Roman" w:hAnsi="Times New Roman"/>
          <w:sz w:val="24"/>
          <w:szCs w:val="24"/>
        </w:rPr>
        <w:t xml:space="preserve">clinics in Karachi and Lahore. </w:t>
      </w:r>
      <w:r w:rsidRPr="008743C5">
        <w:rPr>
          <w:rFonts w:ascii="Times New Roman" w:hAnsi="Times New Roman"/>
          <w:sz w:val="24"/>
          <w:szCs w:val="24"/>
        </w:rPr>
        <w:t>The government assistance support for the artistes has been expanded to Rs1 billion from Rs250 million on th</w:t>
      </w:r>
      <w:r>
        <w:rPr>
          <w:rFonts w:ascii="Times New Roman" w:hAnsi="Times New Roman"/>
          <w:sz w:val="24"/>
          <w:szCs w:val="24"/>
        </w:rPr>
        <w:t xml:space="preserve">e suggestion of the president. </w:t>
      </w:r>
      <w:r w:rsidRPr="008743C5">
        <w:rPr>
          <w:rFonts w:ascii="Times New Roman" w:hAnsi="Times New Roman"/>
          <w:sz w:val="24"/>
          <w:szCs w:val="24"/>
        </w:rPr>
        <w:t xml:space="preserve">For the wellbeing division, the administration has apportioned Rs20 billion, while Rs20 billion </w:t>
      </w:r>
      <w:r>
        <w:rPr>
          <w:rFonts w:ascii="Times New Roman" w:hAnsi="Times New Roman"/>
          <w:sz w:val="24"/>
          <w:szCs w:val="24"/>
        </w:rPr>
        <w:t xml:space="preserve">for science and data ventures. </w:t>
      </w:r>
      <w:r w:rsidRPr="008743C5">
        <w:rPr>
          <w:rFonts w:ascii="Times New Roman" w:hAnsi="Times New Roman"/>
          <w:sz w:val="24"/>
          <w:szCs w:val="24"/>
        </w:rPr>
        <w:t>The administration has apportioned Rs70 billion for combatting the coronavirus and different fiascos and Rs80 billion fo</w:t>
      </w:r>
      <w:r>
        <w:rPr>
          <w:rFonts w:ascii="Times New Roman" w:hAnsi="Times New Roman"/>
          <w:sz w:val="24"/>
          <w:szCs w:val="24"/>
        </w:rPr>
        <w:t xml:space="preserve">r exceptional financial zones. </w:t>
      </w:r>
      <w:r w:rsidRPr="008743C5">
        <w:rPr>
          <w:rFonts w:ascii="Times New Roman" w:hAnsi="Times New Roman"/>
          <w:sz w:val="24"/>
          <w:szCs w:val="24"/>
        </w:rPr>
        <w:t xml:space="preserve">This year, Pakistan has apportioned Rs70bn for water ventures. </w:t>
      </w:r>
    </w:p>
    <w:p w:rsidR="008743C5" w:rsidRDefault="008743C5" w:rsidP="007D23B1">
      <w:pPr>
        <w:rPr>
          <w:rFonts w:ascii="Times New Roman" w:hAnsi="Times New Roman"/>
          <w:sz w:val="24"/>
          <w:szCs w:val="24"/>
        </w:rPr>
      </w:pPr>
      <w:r w:rsidRPr="008743C5">
        <w:rPr>
          <w:rFonts w:ascii="Times New Roman" w:hAnsi="Times New Roman"/>
          <w:sz w:val="24"/>
          <w:szCs w:val="24"/>
        </w:rPr>
        <w:t>Pakistan's Defense financial plan for 2020-21 is Rs1.289 trillion (practically</w:t>
      </w:r>
      <w:r>
        <w:rPr>
          <w:rFonts w:ascii="Times New Roman" w:hAnsi="Times New Roman"/>
          <w:sz w:val="24"/>
          <w:szCs w:val="24"/>
        </w:rPr>
        <w:t xml:space="preserve"> 12% higher than last year's). </w:t>
      </w:r>
      <w:r w:rsidRPr="008743C5">
        <w:rPr>
          <w:rFonts w:ascii="Times New Roman" w:hAnsi="Times New Roman"/>
          <w:sz w:val="24"/>
          <w:szCs w:val="24"/>
        </w:rPr>
        <w:t xml:space="preserve">Presently, individuals should show their CNICs while making an acquisition of over Rs 100,000. Prior, this </w:t>
      </w:r>
      <w:r>
        <w:rPr>
          <w:rFonts w:ascii="Times New Roman" w:hAnsi="Times New Roman"/>
          <w:sz w:val="24"/>
          <w:szCs w:val="24"/>
        </w:rPr>
        <w:t xml:space="preserve">was relevant on Rs 50,000 buy. </w:t>
      </w:r>
      <w:r w:rsidRPr="008743C5">
        <w:rPr>
          <w:rFonts w:ascii="Times New Roman" w:hAnsi="Times New Roman"/>
          <w:sz w:val="24"/>
          <w:szCs w:val="24"/>
        </w:rPr>
        <w:t>The legislature has diminished the government extract obligation on concrete fr</w:t>
      </w:r>
      <w:r>
        <w:rPr>
          <w:rFonts w:ascii="Times New Roman" w:hAnsi="Times New Roman"/>
          <w:sz w:val="24"/>
          <w:szCs w:val="24"/>
        </w:rPr>
        <w:t xml:space="preserve">om Rs2 to Rs1.75 per kilogram. </w:t>
      </w:r>
      <w:r w:rsidRPr="008743C5">
        <w:rPr>
          <w:rFonts w:ascii="Times New Roman" w:hAnsi="Times New Roman"/>
          <w:sz w:val="24"/>
          <w:szCs w:val="24"/>
        </w:rPr>
        <w:t>To counter the effect of environmental chan</w:t>
      </w:r>
      <w:r>
        <w:rPr>
          <w:rFonts w:ascii="Times New Roman" w:hAnsi="Times New Roman"/>
          <w:sz w:val="24"/>
          <w:szCs w:val="24"/>
        </w:rPr>
        <w:t xml:space="preserve">ge, Rs6 billion will be spent.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 xml:space="preserve">The legislature will likewise be spending on improvement ventures in extraordinary territories. Forty billion rupees will be spent in </w:t>
      </w:r>
      <w:proofErr w:type="spellStart"/>
      <w:r w:rsidRPr="008743C5">
        <w:rPr>
          <w:rFonts w:ascii="Times New Roman" w:hAnsi="Times New Roman"/>
          <w:sz w:val="24"/>
          <w:szCs w:val="24"/>
        </w:rPr>
        <w:t>Gilgit-Baltistan</w:t>
      </w:r>
      <w:proofErr w:type="spellEnd"/>
      <w:r w:rsidRPr="008743C5">
        <w:rPr>
          <w:rFonts w:ascii="Times New Roman" w:hAnsi="Times New Roman"/>
          <w:sz w:val="24"/>
          <w:szCs w:val="24"/>
        </w:rPr>
        <w:t xml:space="preserve"> and Kashmir, while Rs48 </w:t>
      </w:r>
      <w:r>
        <w:rPr>
          <w:rFonts w:ascii="Times New Roman" w:hAnsi="Times New Roman"/>
          <w:sz w:val="24"/>
          <w:szCs w:val="24"/>
        </w:rPr>
        <w:t xml:space="preserve">billion on consolidated areas. </w:t>
      </w:r>
      <w:r w:rsidRPr="008743C5">
        <w:rPr>
          <w:rFonts w:ascii="Times New Roman" w:hAnsi="Times New Roman"/>
          <w:sz w:val="24"/>
          <w:szCs w:val="24"/>
        </w:rPr>
        <w:t>The government extract obligation will be expanded on e-cigarettes. The FED on imported cigarettes, '</w:t>
      </w:r>
      <w:proofErr w:type="spellStart"/>
      <w:r w:rsidRPr="008743C5">
        <w:rPr>
          <w:rFonts w:ascii="Times New Roman" w:hAnsi="Times New Roman"/>
          <w:sz w:val="24"/>
          <w:szCs w:val="24"/>
        </w:rPr>
        <w:t>bidi</w:t>
      </w:r>
      <w:proofErr w:type="spellEnd"/>
      <w:r w:rsidRPr="008743C5">
        <w:rPr>
          <w:rFonts w:ascii="Times New Roman" w:hAnsi="Times New Roman"/>
          <w:sz w:val="24"/>
          <w:szCs w:val="24"/>
        </w:rPr>
        <w:t xml:space="preserve">', and stogies has been expanded to 100%, it was 65% previously. The assessment on cigarette's channel bar has been expanded from Rs0.75 to Rs1. </w:t>
      </w:r>
    </w:p>
    <w:p w:rsidR="008743C5" w:rsidRPr="008743C5" w:rsidRDefault="008743C5" w:rsidP="007D23B1">
      <w:pPr>
        <w:rPr>
          <w:rFonts w:ascii="Times New Roman" w:hAnsi="Times New Roman"/>
          <w:sz w:val="24"/>
          <w:szCs w:val="24"/>
        </w:rPr>
      </w:pPr>
      <w:r w:rsidRPr="008743C5">
        <w:rPr>
          <w:rFonts w:ascii="Times New Roman" w:hAnsi="Times New Roman"/>
          <w:sz w:val="24"/>
          <w:szCs w:val="24"/>
        </w:rPr>
        <w:t xml:space="preserve">The FED on caffeine-related items is being expanded from 13% to 25% to dishearten their utilization. Extract obligation has likewise been forced on twofold lodge pick-ups. The FED on concrete has been decreased by 25 </w:t>
      </w:r>
      <w:proofErr w:type="spellStart"/>
      <w:r w:rsidRPr="008743C5">
        <w:rPr>
          <w:rFonts w:ascii="Times New Roman" w:hAnsi="Times New Roman"/>
          <w:sz w:val="24"/>
          <w:szCs w:val="24"/>
        </w:rPr>
        <w:t>paisas</w:t>
      </w:r>
      <w:proofErr w:type="spellEnd"/>
      <w:r w:rsidRPr="008743C5">
        <w:rPr>
          <w:rFonts w:ascii="Times New Roman" w:hAnsi="Times New Roman"/>
          <w:sz w:val="24"/>
          <w:szCs w:val="24"/>
        </w:rPr>
        <w:t xml:space="preserve"> to Rs1.75. The FBR has set his income focus at</w:t>
      </w:r>
      <w:r>
        <w:rPr>
          <w:rFonts w:ascii="Times New Roman" w:hAnsi="Times New Roman"/>
          <w:sz w:val="24"/>
          <w:szCs w:val="24"/>
        </w:rPr>
        <w:t xml:space="preserve"> Rs </w:t>
      </w:r>
      <w:r w:rsidRPr="008743C5">
        <w:rPr>
          <w:rFonts w:ascii="Times New Roman" w:hAnsi="Times New Roman"/>
          <w:sz w:val="24"/>
          <w:szCs w:val="24"/>
        </w:rPr>
        <w:t xml:space="preserve">3,900 billion this year. It is prescribed that administrative obligations are diminished to stop the sneaking of items. </w:t>
      </w:r>
    </w:p>
    <w:p w:rsidR="008743C5" w:rsidRDefault="00F114D4" w:rsidP="007D23B1">
      <w:pPr>
        <w:rPr>
          <w:rFonts w:ascii="Times New Roman" w:hAnsi="Times New Roman"/>
          <w:sz w:val="24"/>
          <w:szCs w:val="24"/>
        </w:rPr>
      </w:pPr>
      <w:r>
        <w:rPr>
          <w:rFonts w:ascii="Times New Roman" w:hAnsi="Times New Roman"/>
          <w:sz w:val="24"/>
          <w:szCs w:val="24"/>
        </w:rPr>
        <w:lastRenderedPageBreak/>
        <w:t>My opinion It seen to be good budget because at situation pandemic condition it hard to give such a budget who have high revenue and low expense and proving pl</w:t>
      </w:r>
      <w:r>
        <w:rPr>
          <w:rFonts w:ascii="Times New Roman" w:hAnsi="Times New Roman"/>
          <w:sz w:val="24"/>
          <w:szCs w:val="24"/>
        </w:rPr>
        <w:t>atform for business industries but t</w:t>
      </w:r>
      <w:r w:rsidR="008743C5" w:rsidRPr="008743C5">
        <w:rPr>
          <w:rFonts w:ascii="Times New Roman" w:hAnsi="Times New Roman"/>
          <w:sz w:val="24"/>
          <w:szCs w:val="24"/>
        </w:rPr>
        <w:t xml:space="preserve">he individuals from the Opposition arranged a </w:t>
      </w:r>
      <w:r w:rsidRPr="008743C5">
        <w:rPr>
          <w:rFonts w:ascii="Times New Roman" w:hAnsi="Times New Roman"/>
          <w:sz w:val="24"/>
          <w:szCs w:val="24"/>
        </w:rPr>
        <w:t>conflict</w:t>
      </w:r>
      <w:r w:rsidR="008743C5" w:rsidRPr="008743C5">
        <w:rPr>
          <w:rFonts w:ascii="Times New Roman" w:hAnsi="Times New Roman"/>
          <w:sz w:val="24"/>
          <w:szCs w:val="24"/>
        </w:rPr>
        <w:t xml:space="preserve"> while the financial plan was being introduced. They recited mottos over the sugar emergency request and sacking of Pakistan Steel Mills representatives.</w:t>
      </w:r>
    </w:p>
    <w:p w:rsidR="006B7383" w:rsidRDefault="006B7383" w:rsidP="007D23B1">
      <w:pPr>
        <w:rPr>
          <w:rFonts w:ascii="Times New Roman" w:hAnsi="Times New Roman"/>
          <w:sz w:val="24"/>
          <w:szCs w:val="24"/>
        </w:rPr>
      </w:pPr>
    </w:p>
    <w:p w:rsidR="006B7383" w:rsidRDefault="006B7383" w:rsidP="007D23B1">
      <w:pPr>
        <w:rPr>
          <w:rFonts w:ascii="Times New Roman" w:hAnsi="Times New Roman"/>
          <w:sz w:val="24"/>
          <w:szCs w:val="24"/>
        </w:rPr>
      </w:pPr>
    </w:p>
    <w:p w:rsidR="006B7383" w:rsidRPr="005E71DD" w:rsidRDefault="006B7383" w:rsidP="007D23B1">
      <w:pPr>
        <w:rPr>
          <w:rFonts w:ascii="Times New Roman" w:hAnsi="Times New Roman"/>
          <w:sz w:val="24"/>
          <w:szCs w:val="24"/>
        </w:rPr>
      </w:pPr>
      <w:r>
        <w:rPr>
          <w:rFonts w:ascii="Times New Roman" w:hAnsi="Times New Roman"/>
          <w:sz w:val="24"/>
          <w:szCs w:val="24"/>
        </w:rPr>
        <w:t>=================================END=========================</w:t>
      </w:r>
    </w:p>
    <w:sectPr w:rsidR="006B7383" w:rsidRPr="005E71DD">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75" w:rsidRDefault="00997975" w:rsidP="00664046">
      <w:pPr>
        <w:spacing w:after="0" w:line="240" w:lineRule="auto"/>
      </w:pPr>
      <w:r>
        <w:separator/>
      </w:r>
    </w:p>
  </w:endnote>
  <w:endnote w:type="continuationSeparator" w:id="0">
    <w:p w:rsidR="00997975" w:rsidRDefault="00997975" w:rsidP="006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AC" w:rsidRDefault="00292AAC">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432663">
      <w:rPr>
        <w:noProof/>
        <w:color w:val="5B9BD5" w:themeColor="accent1"/>
        <w:sz w:val="20"/>
        <w:szCs w:val="20"/>
      </w:rPr>
      <w:t>15</w:t>
    </w:r>
    <w:r>
      <w:rPr>
        <w:color w:val="5B9BD5" w:themeColor="accent1"/>
        <w:sz w:val="20"/>
        <w:szCs w:val="20"/>
      </w:rPr>
      <w:fldChar w:fldCharType="end"/>
    </w:r>
  </w:p>
  <w:p w:rsidR="00292AAC" w:rsidRDefault="00292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75" w:rsidRDefault="00997975" w:rsidP="00664046">
      <w:pPr>
        <w:spacing w:after="0" w:line="240" w:lineRule="auto"/>
      </w:pPr>
      <w:r>
        <w:separator/>
      </w:r>
    </w:p>
  </w:footnote>
  <w:footnote w:type="continuationSeparator" w:id="0">
    <w:p w:rsidR="00997975" w:rsidRDefault="00997975" w:rsidP="0066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EF2"/>
    <w:multiLevelType w:val="hybridMultilevel"/>
    <w:tmpl w:val="3AD201FA"/>
    <w:lvl w:ilvl="0" w:tplc="2DFA3B52">
      <w:start w:val="1"/>
      <w:numFmt w:val="bullet"/>
      <w:lvlText w:val=""/>
      <w:lvlJc w:val="left"/>
      <w:pPr>
        <w:tabs>
          <w:tab w:val="num" w:pos="720"/>
        </w:tabs>
        <w:ind w:left="720" w:hanging="360"/>
      </w:pPr>
      <w:rPr>
        <w:rFonts w:ascii="Symbol" w:hAnsi="Symbol" w:hint="default"/>
      </w:rPr>
    </w:lvl>
    <w:lvl w:ilvl="1" w:tplc="24122F28" w:tentative="1">
      <w:start w:val="1"/>
      <w:numFmt w:val="bullet"/>
      <w:lvlText w:val=""/>
      <w:lvlJc w:val="left"/>
      <w:pPr>
        <w:tabs>
          <w:tab w:val="num" w:pos="1440"/>
        </w:tabs>
        <w:ind w:left="1440" w:hanging="360"/>
      </w:pPr>
      <w:rPr>
        <w:rFonts w:ascii="Symbol" w:hAnsi="Symbol" w:hint="default"/>
      </w:rPr>
    </w:lvl>
    <w:lvl w:ilvl="2" w:tplc="694CF8CE" w:tentative="1">
      <w:start w:val="1"/>
      <w:numFmt w:val="bullet"/>
      <w:lvlText w:val=""/>
      <w:lvlJc w:val="left"/>
      <w:pPr>
        <w:tabs>
          <w:tab w:val="num" w:pos="2160"/>
        </w:tabs>
        <w:ind w:left="2160" w:hanging="360"/>
      </w:pPr>
      <w:rPr>
        <w:rFonts w:ascii="Symbol" w:hAnsi="Symbol" w:hint="default"/>
      </w:rPr>
    </w:lvl>
    <w:lvl w:ilvl="3" w:tplc="7DD83582" w:tentative="1">
      <w:start w:val="1"/>
      <w:numFmt w:val="bullet"/>
      <w:lvlText w:val=""/>
      <w:lvlJc w:val="left"/>
      <w:pPr>
        <w:tabs>
          <w:tab w:val="num" w:pos="2880"/>
        </w:tabs>
        <w:ind w:left="2880" w:hanging="360"/>
      </w:pPr>
      <w:rPr>
        <w:rFonts w:ascii="Symbol" w:hAnsi="Symbol" w:hint="default"/>
      </w:rPr>
    </w:lvl>
    <w:lvl w:ilvl="4" w:tplc="0646E46A" w:tentative="1">
      <w:start w:val="1"/>
      <w:numFmt w:val="bullet"/>
      <w:lvlText w:val=""/>
      <w:lvlJc w:val="left"/>
      <w:pPr>
        <w:tabs>
          <w:tab w:val="num" w:pos="3600"/>
        </w:tabs>
        <w:ind w:left="3600" w:hanging="360"/>
      </w:pPr>
      <w:rPr>
        <w:rFonts w:ascii="Symbol" w:hAnsi="Symbol" w:hint="default"/>
      </w:rPr>
    </w:lvl>
    <w:lvl w:ilvl="5" w:tplc="6F8EF8F2" w:tentative="1">
      <w:start w:val="1"/>
      <w:numFmt w:val="bullet"/>
      <w:lvlText w:val=""/>
      <w:lvlJc w:val="left"/>
      <w:pPr>
        <w:tabs>
          <w:tab w:val="num" w:pos="4320"/>
        </w:tabs>
        <w:ind w:left="4320" w:hanging="360"/>
      </w:pPr>
      <w:rPr>
        <w:rFonts w:ascii="Symbol" w:hAnsi="Symbol" w:hint="default"/>
      </w:rPr>
    </w:lvl>
    <w:lvl w:ilvl="6" w:tplc="19680842" w:tentative="1">
      <w:start w:val="1"/>
      <w:numFmt w:val="bullet"/>
      <w:lvlText w:val=""/>
      <w:lvlJc w:val="left"/>
      <w:pPr>
        <w:tabs>
          <w:tab w:val="num" w:pos="5040"/>
        </w:tabs>
        <w:ind w:left="5040" w:hanging="360"/>
      </w:pPr>
      <w:rPr>
        <w:rFonts w:ascii="Symbol" w:hAnsi="Symbol" w:hint="default"/>
      </w:rPr>
    </w:lvl>
    <w:lvl w:ilvl="7" w:tplc="4394EAA8" w:tentative="1">
      <w:start w:val="1"/>
      <w:numFmt w:val="bullet"/>
      <w:lvlText w:val=""/>
      <w:lvlJc w:val="left"/>
      <w:pPr>
        <w:tabs>
          <w:tab w:val="num" w:pos="5760"/>
        </w:tabs>
        <w:ind w:left="5760" w:hanging="360"/>
      </w:pPr>
      <w:rPr>
        <w:rFonts w:ascii="Symbol" w:hAnsi="Symbol" w:hint="default"/>
      </w:rPr>
    </w:lvl>
    <w:lvl w:ilvl="8" w:tplc="AB8E056C" w:tentative="1">
      <w:start w:val="1"/>
      <w:numFmt w:val="bullet"/>
      <w:lvlText w:val=""/>
      <w:lvlJc w:val="left"/>
      <w:pPr>
        <w:tabs>
          <w:tab w:val="num" w:pos="6480"/>
        </w:tabs>
        <w:ind w:left="6480" w:hanging="360"/>
      </w:pPr>
      <w:rPr>
        <w:rFonts w:ascii="Symbol" w:hAnsi="Symbol" w:hint="default"/>
      </w:rPr>
    </w:lvl>
  </w:abstractNum>
  <w:abstractNum w:abstractNumId="1">
    <w:nsid w:val="0BFE3565"/>
    <w:multiLevelType w:val="hybridMultilevel"/>
    <w:tmpl w:val="61709384"/>
    <w:lvl w:ilvl="0" w:tplc="BBC2A7A6">
      <w:start w:val="1"/>
      <w:numFmt w:val="bullet"/>
      <w:lvlText w:val=""/>
      <w:lvlJc w:val="left"/>
      <w:pPr>
        <w:tabs>
          <w:tab w:val="num" w:pos="720"/>
        </w:tabs>
        <w:ind w:left="720" w:hanging="360"/>
      </w:pPr>
      <w:rPr>
        <w:rFonts w:ascii="Symbol" w:hAnsi="Symbol" w:hint="default"/>
      </w:rPr>
    </w:lvl>
    <w:lvl w:ilvl="1" w:tplc="3DBCE4A0" w:tentative="1">
      <w:start w:val="1"/>
      <w:numFmt w:val="bullet"/>
      <w:lvlText w:val=""/>
      <w:lvlJc w:val="left"/>
      <w:pPr>
        <w:tabs>
          <w:tab w:val="num" w:pos="1440"/>
        </w:tabs>
        <w:ind w:left="1440" w:hanging="360"/>
      </w:pPr>
      <w:rPr>
        <w:rFonts w:ascii="Symbol" w:hAnsi="Symbol" w:hint="default"/>
      </w:rPr>
    </w:lvl>
    <w:lvl w:ilvl="2" w:tplc="769E0A28" w:tentative="1">
      <w:start w:val="1"/>
      <w:numFmt w:val="bullet"/>
      <w:lvlText w:val=""/>
      <w:lvlJc w:val="left"/>
      <w:pPr>
        <w:tabs>
          <w:tab w:val="num" w:pos="2160"/>
        </w:tabs>
        <w:ind w:left="2160" w:hanging="360"/>
      </w:pPr>
      <w:rPr>
        <w:rFonts w:ascii="Symbol" w:hAnsi="Symbol" w:hint="default"/>
      </w:rPr>
    </w:lvl>
    <w:lvl w:ilvl="3" w:tplc="DCCE84B2" w:tentative="1">
      <w:start w:val="1"/>
      <w:numFmt w:val="bullet"/>
      <w:lvlText w:val=""/>
      <w:lvlJc w:val="left"/>
      <w:pPr>
        <w:tabs>
          <w:tab w:val="num" w:pos="2880"/>
        </w:tabs>
        <w:ind w:left="2880" w:hanging="360"/>
      </w:pPr>
      <w:rPr>
        <w:rFonts w:ascii="Symbol" w:hAnsi="Symbol" w:hint="default"/>
      </w:rPr>
    </w:lvl>
    <w:lvl w:ilvl="4" w:tplc="0F5A338A" w:tentative="1">
      <w:start w:val="1"/>
      <w:numFmt w:val="bullet"/>
      <w:lvlText w:val=""/>
      <w:lvlJc w:val="left"/>
      <w:pPr>
        <w:tabs>
          <w:tab w:val="num" w:pos="3600"/>
        </w:tabs>
        <w:ind w:left="3600" w:hanging="360"/>
      </w:pPr>
      <w:rPr>
        <w:rFonts w:ascii="Symbol" w:hAnsi="Symbol" w:hint="default"/>
      </w:rPr>
    </w:lvl>
    <w:lvl w:ilvl="5" w:tplc="C4F46980" w:tentative="1">
      <w:start w:val="1"/>
      <w:numFmt w:val="bullet"/>
      <w:lvlText w:val=""/>
      <w:lvlJc w:val="left"/>
      <w:pPr>
        <w:tabs>
          <w:tab w:val="num" w:pos="4320"/>
        </w:tabs>
        <w:ind w:left="4320" w:hanging="360"/>
      </w:pPr>
      <w:rPr>
        <w:rFonts w:ascii="Symbol" w:hAnsi="Symbol" w:hint="default"/>
      </w:rPr>
    </w:lvl>
    <w:lvl w:ilvl="6" w:tplc="C6485C82" w:tentative="1">
      <w:start w:val="1"/>
      <w:numFmt w:val="bullet"/>
      <w:lvlText w:val=""/>
      <w:lvlJc w:val="left"/>
      <w:pPr>
        <w:tabs>
          <w:tab w:val="num" w:pos="5040"/>
        </w:tabs>
        <w:ind w:left="5040" w:hanging="360"/>
      </w:pPr>
      <w:rPr>
        <w:rFonts w:ascii="Symbol" w:hAnsi="Symbol" w:hint="default"/>
      </w:rPr>
    </w:lvl>
    <w:lvl w:ilvl="7" w:tplc="6FF45D80" w:tentative="1">
      <w:start w:val="1"/>
      <w:numFmt w:val="bullet"/>
      <w:lvlText w:val=""/>
      <w:lvlJc w:val="left"/>
      <w:pPr>
        <w:tabs>
          <w:tab w:val="num" w:pos="5760"/>
        </w:tabs>
        <w:ind w:left="5760" w:hanging="360"/>
      </w:pPr>
      <w:rPr>
        <w:rFonts w:ascii="Symbol" w:hAnsi="Symbol" w:hint="default"/>
      </w:rPr>
    </w:lvl>
    <w:lvl w:ilvl="8" w:tplc="510ED98E" w:tentative="1">
      <w:start w:val="1"/>
      <w:numFmt w:val="bullet"/>
      <w:lvlText w:val=""/>
      <w:lvlJc w:val="left"/>
      <w:pPr>
        <w:tabs>
          <w:tab w:val="num" w:pos="6480"/>
        </w:tabs>
        <w:ind w:left="6480" w:hanging="360"/>
      </w:pPr>
      <w:rPr>
        <w:rFonts w:ascii="Symbol" w:hAnsi="Symbol" w:hint="default"/>
      </w:rPr>
    </w:lvl>
  </w:abstractNum>
  <w:abstractNum w:abstractNumId="2">
    <w:nsid w:val="10710328"/>
    <w:multiLevelType w:val="hybridMultilevel"/>
    <w:tmpl w:val="69AE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B4AF6"/>
    <w:multiLevelType w:val="hybridMultilevel"/>
    <w:tmpl w:val="F94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F6B05"/>
    <w:multiLevelType w:val="hybridMultilevel"/>
    <w:tmpl w:val="BD12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35615"/>
    <w:multiLevelType w:val="hybridMultilevel"/>
    <w:tmpl w:val="42D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777E7"/>
    <w:multiLevelType w:val="hybridMultilevel"/>
    <w:tmpl w:val="4E7EA224"/>
    <w:lvl w:ilvl="0" w:tplc="EBD62FC6">
      <w:start w:val="1"/>
      <w:numFmt w:val="bullet"/>
      <w:lvlText w:val=""/>
      <w:lvlJc w:val="left"/>
      <w:pPr>
        <w:tabs>
          <w:tab w:val="num" w:pos="720"/>
        </w:tabs>
        <w:ind w:left="720" w:hanging="360"/>
      </w:pPr>
      <w:rPr>
        <w:rFonts w:ascii="Symbol" w:hAnsi="Symbol" w:hint="default"/>
      </w:rPr>
    </w:lvl>
    <w:lvl w:ilvl="1" w:tplc="1AACA7D8" w:tentative="1">
      <w:start w:val="1"/>
      <w:numFmt w:val="bullet"/>
      <w:lvlText w:val=""/>
      <w:lvlJc w:val="left"/>
      <w:pPr>
        <w:tabs>
          <w:tab w:val="num" w:pos="1440"/>
        </w:tabs>
        <w:ind w:left="1440" w:hanging="360"/>
      </w:pPr>
      <w:rPr>
        <w:rFonts w:ascii="Symbol" w:hAnsi="Symbol" w:hint="default"/>
      </w:rPr>
    </w:lvl>
    <w:lvl w:ilvl="2" w:tplc="B10EDE90" w:tentative="1">
      <w:start w:val="1"/>
      <w:numFmt w:val="bullet"/>
      <w:lvlText w:val=""/>
      <w:lvlJc w:val="left"/>
      <w:pPr>
        <w:tabs>
          <w:tab w:val="num" w:pos="2160"/>
        </w:tabs>
        <w:ind w:left="2160" w:hanging="360"/>
      </w:pPr>
      <w:rPr>
        <w:rFonts w:ascii="Symbol" w:hAnsi="Symbol" w:hint="default"/>
      </w:rPr>
    </w:lvl>
    <w:lvl w:ilvl="3" w:tplc="C1DC9F5E" w:tentative="1">
      <w:start w:val="1"/>
      <w:numFmt w:val="bullet"/>
      <w:lvlText w:val=""/>
      <w:lvlJc w:val="left"/>
      <w:pPr>
        <w:tabs>
          <w:tab w:val="num" w:pos="2880"/>
        </w:tabs>
        <w:ind w:left="2880" w:hanging="360"/>
      </w:pPr>
      <w:rPr>
        <w:rFonts w:ascii="Symbol" w:hAnsi="Symbol" w:hint="default"/>
      </w:rPr>
    </w:lvl>
    <w:lvl w:ilvl="4" w:tplc="46127F9E" w:tentative="1">
      <w:start w:val="1"/>
      <w:numFmt w:val="bullet"/>
      <w:lvlText w:val=""/>
      <w:lvlJc w:val="left"/>
      <w:pPr>
        <w:tabs>
          <w:tab w:val="num" w:pos="3600"/>
        </w:tabs>
        <w:ind w:left="3600" w:hanging="360"/>
      </w:pPr>
      <w:rPr>
        <w:rFonts w:ascii="Symbol" w:hAnsi="Symbol" w:hint="default"/>
      </w:rPr>
    </w:lvl>
    <w:lvl w:ilvl="5" w:tplc="53BE11F2" w:tentative="1">
      <w:start w:val="1"/>
      <w:numFmt w:val="bullet"/>
      <w:lvlText w:val=""/>
      <w:lvlJc w:val="left"/>
      <w:pPr>
        <w:tabs>
          <w:tab w:val="num" w:pos="4320"/>
        </w:tabs>
        <w:ind w:left="4320" w:hanging="360"/>
      </w:pPr>
      <w:rPr>
        <w:rFonts w:ascii="Symbol" w:hAnsi="Symbol" w:hint="default"/>
      </w:rPr>
    </w:lvl>
    <w:lvl w:ilvl="6" w:tplc="DEBE9B2C" w:tentative="1">
      <w:start w:val="1"/>
      <w:numFmt w:val="bullet"/>
      <w:lvlText w:val=""/>
      <w:lvlJc w:val="left"/>
      <w:pPr>
        <w:tabs>
          <w:tab w:val="num" w:pos="5040"/>
        </w:tabs>
        <w:ind w:left="5040" w:hanging="360"/>
      </w:pPr>
      <w:rPr>
        <w:rFonts w:ascii="Symbol" w:hAnsi="Symbol" w:hint="default"/>
      </w:rPr>
    </w:lvl>
    <w:lvl w:ilvl="7" w:tplc="4DFE64E2" w:tentative="1">
      <w:start w:val="1"/>
      <w:numFmt w:val="bullet"/>
      <w:lvlText w:val=""/>
      <w:lvlJc w:val="left"/>
      <w:pPr>
        <w:tabs>
          <w:tab w:val="num" w:pos="5760"/>
        </w:tabs>
        <w:ind w:left="5760" w:hanging="360"/>
      </w:pPr>
      <w:rPr>
        <w:rFonts w:ascii="Symbol" w:hAnsi="Symbol" w:hint="default"/>
      </w:rPr>
    </w:lvl>
    <w:lvl w:ilvl="8" w:tplc="A4AE3388" w:tentative="1">
      <w:start w:val="1"/>
      <w:numFmt w:val="bullet"/>
      <w:lvlText w:val=""/>
      <w:lvlJc w:val="left"/>
      <w:pPr>
        <w:tabs>
          <w:tab w:val="num" w:pos="6480"/>
        </w:tabs>
        <w:ind w:left="6480" w:hanging="360"/>
      </w:pPr>
      <w:rPr>
        <w:rFonts w:ascii="Symbol" w:hAnsi="Symbol" w:hint="default"/>
      </w:rPr>
    </w:lvl>
  </w:abstractNum>
  <w:abstractNum w:abstractNumId="7">
    <w:nsid w:val="751C7BA7"/>
    <w:multiLevelType w:val="hybridMultilevel"/>
    <w:tmpl w:val="250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94B01"/>
    <w:multiLevelType w:val="hybridMultilevel"/>
    <w:tmpl w:val="582A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E4"/>
    <w:rsid w:val="000008C4"/>
    <w:rsid w:val="0004659E"/>
    <w:rsid w:val="00051485"/>
    <w:rsid w:val="000C5F2A"/>
    <w:rsid w:val="00107567"/>
    <w:rsid w:val="00130C60"/>
    <w:rsid w:val="001B2246"/>
    <w:rsid w:val="001F47F2"/>
    <w:rsid w:val="00213A41"/>
    <w:rsid w:val="00276EC7"/>
    <w:rsid w:val="00281C43"/>
    <w:rsid w:val="00292AAC"/>
    <w:rsid w:val="00364347"/>
    <w:rsid w:val="003A117A"/>
    <w:rsid w:val="003B3B69"/>
    <w:rsid w:val="003B587A"/>
    <w:rsid w:val="003D66DE"/>
    <w:rsid w:val="00421F81"/>
    <w:rsid w:val="00432663"/>
    <w:rsid w:val="00556082"/>
    <w:rsid w:val="005E71DD"/>
    <w:rsid w:val="00643009"/>
    <w:rsid w:val="00660545"/>
    <w:rsid w:val="00664046"/>
    <w:rsid w:val="006725AB"/>
    <w:rsid w:val="006A341B"/>
    <w:rsid w:val="006B7383"/>
    <w:rsid w:val="006E4835"/>
    <w:rsid w:val="006F2A00"/>
    <w:rsid w:val="00721E65"/>
    <w:rsid w:val="007D23B1"/>
    <w:rsid w:val="008227FB"/>
    <w:rsid w:val="008743C5"/>
    <w:rsid w:val="008B3DBD"/>
    <w:rsid w:val="008C476D"/>
    <w:rsid w:val="00911DDC"/>
    <w:rsid w:val="00915514"/>
    <w:rsid w:val="00997975"/>
    <w:rsid w:val="009D1689"/>
    <w:rsid w:val="009D49BA"/>
    <w:rsid w:val="009F31E2"/>
    <w:rsid w:val="00A30D2B"/>
    <w:rsid w:val="00A73EE4"/>
    <w:rsid w:val="00A83C1B"/>
    <w:rsid w:val="00A92A58"/>
    <w:rsid w:val="00AB0B2A"/>
    <w:rsid w:val="00AC2514"/>
    <w:rsid w:val="00AE2960"/>
    <w:rsid w:val="00B8641D"/>
    <w:rsid w:val="00B97E0D"/>
    <w:rsid w:val="00BE1203"/>
    <w:rsid w:val="00C07421"/>
    <w:rsid w:val="00C117D3"/>
    <w:rsid w:val="00C66DB7"/>
    <w:rsid w:val="00C77342"/>
    <w:rsid w:val="00CB531E"/>
    <w:rsid w:val="00CB7153"/>
    <w:rsid w:val="00CC2C84"/>
    <w:rsid w:val="00CE168C"/>
    <w:rsid w:val="00D00954"/>
    <w:rsid w:val="00D1696D"/>
    <w:rsid w:val="00D40E16"/>
    <w:rsid w:val="00D63F70"/>
    <w:rsid w:val="00DF336A"/>
    <w:rsid w:val="00E40B73"/>
    <w:rsid w:val="00E83B6A"/>
    <w:rsid w:val="00EE630A"/>
    <w:rsid w:val="00F114D4"/>
    <w:rsid w:val="00F12E00"/>
    <w:rsid w:val="00F21986"/>
    <w:rsid w:val="00F45EE1"/>
    <w:rsid w:val="00F569C4"/>
    <w:rsid w:val="00F641A7"/>
    <w:rsid w:val="00F65A43"/>
    <w:rsid w:val="00F75607"/>
    <w:rsid w:val="00F9413D"/>
    <w:rsid w:val="00FE6733"/>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7F10D-9F73-4CC8-B932-34806BBE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E4"/>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BE12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73EE4"/>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1F47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EE4"/>
    <w:rPr>
      <w:b/>
      <w:bCs/>
    </w:rPr>
  </w:style>
  <w:style w:type="character" w:styleId="Hyperlink">
    <w:name w:val="Hyperlink"/>
    <w:basedOn w:val="DefaultParagraphFont"/>
    <w:uiPriority w:val="99"/>
    <w:unhideWhenUsed/>
    <w:rsid w:val="00A73EE4"/>
    <w:rPr>
      <w:color w:val="0000FF"/>
      <w:u w:val="single"/>
    </w:rPr>
  </w:style>
  <w:style w:type="character" w:customStyle="1" w:styleId="Heading3Char">
    <w:name w:val="Heading 3 Char"/>
    <w:basedOn w:val="DefaultParagraphFont"/>
    <w:link w:val="Heading3"/>
    <w:uiPriority w:val="9"/>
    <w:rsid w:val="00A73EE4"/>
    <w:rPr>
      <w:rFonts w:ascii="Times New Roman" w:eastAsia="Times New Roman" w:hAnsi="Times New Roman" w:cs="Times New Roman"/>
      <w:b/>
      <w:bCs/>
      <w:sz w:val="27"/>
      <w:szCs w:val="27"/>
    </w:rPr>
  </w:style>
  <w:style w:type="paragraph" w:styleId="NormalWeb">
    <w:name w:val="Normal (Web)"/>
    <w:basedOn w:val="Normal"/>
    <w:uiPriority w:val="99"/>
    <w:unhideWhenUsed/>
    <w:rsid w:val="00A73EE4"/>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BE1203"/>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BE1203"/>
  </w:style>
  <w:style w:type="paragraph" w:customStyle="1" w:styleId="comp">
    <w:name w:val="comp"/>
    <w:basedOn w:val="Normal"/>
    <w:rsid w:val="00BE1203"/>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1F47F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40B73"/>
    <w:rPr>
      <w:i/>
      <w:iCs/>
    </w:rPr>
  </w:style>
  <w:style w:type="paragraph" w:styleId="Header">
    <w:name w:val="header"/>
    <w:basedOn w:val="Normal"/>
    <w:link w:val="HeaderChar"/>
    <w:uiPriority w:val="99"/>
    <w:unhideWhenUsed/>
    <w:rsid w:val="0066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46"/>
    <w:rPr>
      <w:rFonts w:ascii="Calibri" w:eastAsia="Times New Roman" w:hAnsi="Calibri" w:cs="Times New Roman"/>
    </w:rPr>
  </w:style>
  <w:style w:type="paragraph" w:styleId="Footer">
    <w:name w:val="footer"/>
    <w:basedOn w:val="Normal"/>
    <w:link w:val="FooterChar"/>
    <w:uiPriority w:val="99"/>
    <w:unhideWhenUsed/>
    <w:rsid w:val="0066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46"/>
    <w:rPr>
      <w:rFonts w:ascii="Calibri" w:eastAsia="Times New Roman" w:hAnsi="Calibri" w:cs="Times New Roman"/>
    </w:rPr>
  </w:style>
  <w:style w:type="paragraph" w:styleId="ListParagraph">
    <w:name w:val="List Paragraph"/>
    <w:basedOn w:val="Normal"/>
    <w:uiPriority w:val="34"/>
    <w:qFormat/>
    <w:rsid w:val="00D1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814">
      <w:bodyDiv w:val="1"/>
      <w:marLeft w:val="0"/>
      <w:marRight w:val="0"/>
      <w:marTop w:val="0"/>
      <w:marBottom w:val="0"/>
      <w:divBdr>
        <w:top w:val="none" w:sz="0" w:space="0" w:color="auto"/>
        <w:left w:val="none" w:sz="0" w:space="0" w:color="auto"/>
        <w:bottom w:val="none" w:sz="0" w:space="0" w:color="auto"/>
        <w:right w:val="none" w:sz="0" w:space="0" w:color="auto"/>
      </w:divBdr>
    </w:div>
    <w:div w:id="83307381">
      <w:bodyDiv w:val="1"/>
      <w:marLeft w:val="0"/>
      <w:marRight w:val="0"/>
      <w:marTop w:val="0"/>
      <w:marBottom w:val="0"/>
      <w:divBdr>
        <w:top w:val="none" w:sz="0" w:space="0" w:color="auto"/>
        <w:left w:val="none" w:sz="0" w:space="0" w:color="auto"/>
        <w:bottom w:val="none" w:sz="0" w:space="0" w:color="auto"/>
        <w:right w:val="none" w:sz="0" w:space="0" w:color="auto"/>
      </w:divBdr>
    </w:div>
    <w:div w:id="134832446">
      <w:bodyDiv w:val="1"/>
      <w:marLeft w:val="0"/>
      <w:marRight w:val="0"/>
      <w:marTop w:val="0"/>
      <w:marBottom w:val="0"/>
      <w:divBdr>
        <w:top w:val="none" w:sz="0" w:space="0" w:color="auto"/>
        <w:left w:val="none" w:sz="0" w:space="0" w:color="auto"/>
        <w:bottom w:val="none" w:sz="0" w:space="0" w:color="auto"/>
        <w:right w:val="none" w:sz="0" w:space="0" w:color="auto"/>
      </w:divBdr>
    </w:div>
    <w:div w:id="183598563">
      <w:bodyDiv w:val="1"/>
      <w:marLeft w:val="0"/>
      <w:marRight w:val="0"/>
      <w:marTop w:val="0"/>
      <w:marBottom w:val="0"/>
      <w:divBdr>
        <w:top w:val="none" w:sz="0" w:space="0" w:color="auto"/>
        <w:left w:val="none" w:sz="0" w:space="0" w:color="auto"/>
        <w:bottom w:val="none" w:sz="0" w:space="0" w:color="auto"/>
        <w:right w:val="none" w:sz="0" w:space="0" w:color="auto"/>
      </w:divBdr>
    </w:div>
    <w:div w:id="242492621">
      <w:bodyDiv w:val="1"/>
      <w:marLeft w:val="0"/>
      <w:marRight w:val="0"/>
      <w:marTop w:val="0"/>
      <w:marBottom w:val="0"/>
      <w:divBdr>
        <w:top w:val="none" w:sz="0" w:space="0" w:color="auto"/>
        <w:left w:val="none" w:sz="0" w:space="0" w:color="auto"/>
        <w:bottom w:val="none" w:sz="0" w:space="0" w:color="auto"/>
        <w:right w:val="none" w:sz="0" w:space="0" w:color="auto"/>
      </w:divBdr>
    </w:div>
    <w:div w:id="274408859">
      <w:bodyDiv w:val="1"/>
      <w:marLeft w:val="0"/>
      <w:marRight w:val="0"/>
      <w:marTop w:val="0"/>
      <w:marBottom w:val="0"/>
      <w:divBdr>
        <w:top w:val="none" w:sz="0" w:space="0" w:color="auto"/>
        <w:left w:val="none" w:sz="0" w:space="0" w:color="auto"/>
        <w:bottom w:val="none" w:sz="0" w:space="0" w:color="auto"/>
        <w:right w:val="none" w:sz="0" w:space="0" w:color="auto"/>
      </w:divBdr>
    </w:div>
    <w:div w:id="378826310">
      <w:bodyDiv w:val="1"/>
      <w:marLeft w:val="0"/>
      <w:marRight w:val="0"/>
      <w:marTop w:val="0"/>
      <w:marBottom w:val="0"/>
      <w:divBdr>
        <w:top w:val="none" w:sz="0" w:space="0" w:color="auto"/>
        <w:left w:val="none" w:sz="0" w:space="0" w:color="auto"/>
        <w:bottom w:val="none" w:sz="0" w:space="0" w:color="auto"/>
        <w:right w:val="none" w:sz="0" w:space="0" w:color="auto"/>
      </w:divBdr>
    </w:div>
    <w:div w:id="442653616">
      <w:bodyDiv w:val="1"/>
      <w:marLeft w:val="0"/>
      <w:marRight w:val="0"/>
      <w:marTop w:val="0"/>
      <w:marBottom w:val="0"/>
      <w:divBdr>
        <w:top w:val="none" w:sz="0" w:space="0" w:color="auto"/>
        <w:left w:val="none" w:sz="0" w:space="0" w:color="auto"/>
        <w:bottom w:val="none" w:sz="0" w:space="0" w:color="auto"/>
        <w:right w:val="none" w:sz="0" w:space="0" w:color="auto"/>
      </w:divBdr>
      <w:divsChild>
        <w:div w:id="1164394051">
          <w:marLeft w:val="734"/>
          <w:marRight w:val="0"/>
          <w:marTop w:val="20"/>
          <w:marBottom w:val="0"/>
          <w:divBdr>
            <w:top w:val="none" w:sz="0" w:space="0" w:color="auto"/>
            <w:left w:val="none" w:sz="0" w:space="0" w:color="auto"/>
            <w:bottom w:val="none" w:sz="0" w:space="0" w:color="auto"/>
            <w:right w:val="none" w:sz="0" w:space="0" w:color="auto"/>
          </w:divBdr>
        </w:div>
        <w:div w:id="968779199">
          <w:marLeft w:val="734"/>
          <w:marRight w:val="0"/>
          <w:marTop w:val="0"/>
          <w:marBottom w:val="0"/>
          <w:divBdr>
            <w:top w:val="none" w:sz="0" w:space="0" w:color="auto"/>
            <w:left w:val="none" w:sz="0" w:space="0" w:color="auto"/>
            <w:bottom w:val="none" w:sz="0" w:space="0" w:color="auto"/>
            <w:right w:val="none" w:sz="0" w:space="0" w:color="auto"/>
          </w:divBdr>
        </w:div>
        <w:div w:id="1608082843">
          <w:marLeft w:val="734"/>
          <w:marRight w:val="86"/>
          <w:marTop w:val="0"/>
          <w:marBottom w:val="0"/>
          <w:divBdr>
            <w:top w:val="none" w:sz="0" w:space="0" w:color="auto"/>
            <w:left w:val="none" w:sz="0" w:space="0" w:color="auto"/>
            <w:bottom w:val="none" w:sz="0" w:space="0" w:color="auto"/>
            <w:right w:val="none" w:sz="0" w:space="0" w:color="auto"/>
          </w:divBdr>
        </w:div>
        <w:div w:id="654527294">
          <w:marLeft w:val="734"/>
          <w:marRight w:val="86"/>
          <w:marTop w:val="0"/>
          <w:marBottom w:val="0"/>
          <w:divBdr>
            <w:top w:val="none" w:sz="0" w:space="0" w:color="auto"/>
            <w:left w:val="none" w:sz="0" w:space="0" w:color="auto"/>
            <w:bottom w:val="none" w:sz="0" w:space="0" w:color="auto"/>
            <w:right w:val="none" w:sz="0" w:space="0" w:color="auto"/>
          </w:divBdr>
        </w:div>
      </w:divsChild>
    </w:div>
    <w:div w:id="493765358">
      <w:bodyDiv w:val="1"/>
      <w:marLeft w:val="0"/>
      <w:marRight w:val="0"/>
      <w:marTop w:val="0"/>
      <w:marBottom w:val="0"/>
      <w:divBdr>
        <w:top w:val="none" w:sz="0" w:space="0" w:color="auto"/>
        <w:left w:val="none" w:sz="0" w:space="0" w:color="auto"/>
        <w:bottom w:val="none" w:sz="0" w:space="0" w:color="auto"/>
        <w:right w:val="none" w:sz="0" w:space="0" w:color="auto"/>
      </w:divBdr>
    </w:div>
    <w:div w:id="797256484">
      <w:bodyDiv w:val="1"/>
      <w:marLeft w:val="0"/>
      <w:marRight w:val="0"/>
      <w:marTop w:val="0"/>
      <w:marBottom w:val="0"/>
      <w:divBdr>
        <w:top w:val="none" w:sz="0" w:space="0" w:color="auto"/>
        <w:left w:val="none" w:sz="0" w:space="0" w:color="auto"/>
        <w:bottom w:val="none" w:sz="0" w:space="0" w:color="auto"/>
        <w:right w:val="none" w:sz="0" w:space="0" w:color="auto"/>
      </w:divBdr>
    </w:div>
    <w:div w:id="905460436">
      <w:bodyDiv w:val="1"/>
      <w:marLeft w:val="0"/>
      <w:marRight w:val="0"/>
      <w:marTop w:val="0"/>
      <w:marBottom w:val="0"/>
      <w:divBdr>
        <w:top w:val="none" w:sz="0" w:space="0" w:color="auto"/>
        <w:left w:val="none" w:sz="0" w:space="0" w:color="auto"/>
        <w:bottom w:val="none" w:sz="0" w:space="0" w:color="auto"/>
        <w:right w:val="none" w:sz="0" w:space="0" w:color="auto"/>
      </w:divBdr>
      <w:divsChild>
        <w:div w:id="522784414">
          <w:marLeft w:val="0"/>
          <w:marRight w:val="0"/>
          <w:marTop w:val="0"/>
          <w:marBottom w:val="0"/>
          <w:divBdr>
            <w:top w:val="single" w:sz="12" w:space="0" w:color="3CBA92"/>
            <w:left w:val="none" w:sz="0" w:space="0" w:color="auto"/>
            <w:bottom w:val="none" w:sz="0" w:space="0" w:color="auto"/>
            <w:right w:val="none" w:sz="0" w:space="0" w:color="auto"/>
          </w:divBdr>
          <w:divsChild>
            <w:div w:id="1623078132">
              <w:marLeft w:val="0"/>
              <w:marRight w:val="0"/>
              <w:marTop w:val="0"/>
              <w:marBottom w:val="0"/>
              <w:divBdr>
                <w:top w:val="none" w:sz="0" w:space="0" w:color="auto"/>
                <w:left w:val="none" w:sz="0" w:space="0" w:color="auto"/>
                <w:bottom w:val="none" w:sz="0" w:space="0" w:color="auto"/>
                <w:right w:val="none" w:sz="0" w:space="0" w:color="auto"/>
              </w:divBdr>
            </w:div>
            <w:div w:id="169175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3407753">
      <w:bodyDiv w:val="1"/>
      <w:marLeft w:val="0"/>
      <w:marRight w:val="0"/>
      <w:marTop w:val="0"/>
      <w:marBottom w:val="0"/>
      <w:divBdr>
        <w:top w:val="none" w:sz="0" w:space="0" w:color="auto"/>
        <w:left w:val="none" w:sz="0" w:space="0" w:color="auto"/>
        <w:bottom w:val="none" w:sz="0" w:space="0" w:color="auto"/>
        <w:right w:val="none" w:sz="0" w:space="0" w:color="auto"/>
      </w:divBdr>
    </w:div>
    <w:div w:id="1000429719">
      <w:bodyDiv w:val="1"/>
      <w:marLeft w:val="0"/>
      <w:marRight w:val="0"/>
      <w:marTop w:val="0"/>
      <w:marBottom w:val="0"/>
      <w:divBdr>
        <w:top w:val="none" w:sz="0" w:space="0" w:color="auto"/>
        <w:left w:val="none" w:sz="0" w:space="0" w:color="auto"/>
        <w:bottom w:val="none" w:sz="0" w:space="0" w:color="auto"/>
        <w:right w:val="none" w:sz="0" w:space="0" w:color="auto"/>
      </w:divBdr>
    </w:div>
    <w:div w:id="1109395287">
      <w:bodyDiv w:val="1"/>
      <w:marLeft w:val="0"/>
      <w:marRight w:val="0"/>
      <w:marTop w:val="0"/>
      <w:marBottom w:val="0"/>
      <w:divBdr>
        <w:top w:val="none" w:sz="0" w:space="0" w:color="auto"/>
        <w:left w:val="none" w:sz="0" w:space="0" w:color="auto"/>
        <w:bottom w:val="none" w:sz="0" w:space="0" w:color="auto"/>
        <w:right w:val="none" w:sz="0" w:space="0" w:color="auto"/>
      </w:divBdr>
    </w:div>
    <w:div w:id="1115444578">
      <w:bodyDiv w:val="1"/>
      <w:marLeft w:val="0"/>
      <w:marRight w:val="0"/>
      <w:marTop w:val="0"/>
      <w:marBottom w:val="0"/>
      <w:divBdr>
        <w:top w:val="none" w:sz="0" w:space="0" w:color="auto"/>
        <w:left w:val="none" w:sz="0" w:space="0" w:color="auto"/>
        <w:bottom w:val="none" w:sz="0" w:space="0" w:color="auto"/>
        <w:right w:val="none" w:sz="0" w:space="0" w:color="auto"/>
      </w:divBdr>
    </w:div>
    <w:div w:id="1300107852">
      <w:bodyDiv w:val="1"/>
      <w:marLeft w:val="0"/>
      <w:marRight w:val="0"/>
      <w:marTop w:val="0"/>
      <w:marBottom w:val="0"/>
      <w:divBdr>
        <w:top w:val="none" w:sz="0" w:space="0" w:color="auto"/>
        <w:left w:val="none" w:sz="0" w:space="0" w:color="auto"/>
        <w:bottom w:val="none" w:sz="0" w:space="0" w:color="auto"/>
        <w:right w:val="none" w:sz="0" w:space="0" w:color="auto"/>
      </w:divBdr>
      <w:divsChild>
        <w:div w:id="1280456633">
          <w:marLeft w:val="547"/>
          <w:marRight w:val="0"/>
          <w:marTop w:val="20"/>
          <w:marBottom w:val="0"/>
          <w:divBdr>
            <w:top w:val="none" w:sz="0" w:space="0" w:color="auto"/>
            <w:left w:val="none" w:sz="0" w:space="0" w:color="auto"/>
            <w:bottom w:val="none" w:sz="0" w:space="0" w:color="auto"/>
            <w:right w:val="none" w:sz="0" w:space="0" w:color="auto"/>
          </w:divBdr>
        </w:div>
        <w:div w:id="1180968948">
          <w:marLeft w:val="547"/>
          <w:marRight w:val="14"/>
          <w:marTop w:val="0"/>
          <w:marBottom w:val="0"/>
          <w:divBdr>
            <w:top w:val="none" w:sz="0" w:space="0" w:color="auto"/>
            <w:left w:val="none" w:sz="0" w:space="0" w:color="auto"/>
            <w:bottom w:val="none" w:sz="0" w:space="0" w:color="auto"/>
            <w:right w:val="none" w:sz="0" w:space="0" w:color="auto"/>
          </w:divBdr>
        </w:div>
      </w:divsChild>
    </w:div>
    <w:div w:id="1384863364">
      <w:bodyDiv w:val="1"/>
      <w:marLeft w:val="0"/>
      <w:marRight w:val="0"/>
      <w:marTop w:val="0"/>
      <w:marBottom w:val="0"/>
      <w:divBdr>
        <w:top w:val="none" w:sz="0" w:space="0" w:color="auto"/>
        <w:left w:val="none" w:sz="0" w:space="0" w:color="auto"/>
        <w:bottom w:val="none" w:sz="0" w:space="0" w:color="auto"/>
        <w:right w:val="none" w:sz="0" w:space="0" w:color="auto"/>
      </w:divBdr>
    </w:div>
    <w:div w:id="1396198556">
      <w:bodyDiv w:val="1"/>
      <w:marLeft w:val="0"/>
      <w:marRight w:val="0"/>
      <w:marTop w:val="0"/>
      <w:marBottom w:val="0"/>
      <w:divBdr>
        <w:top w:val="none" w:sz="0" w:space="0" w:color="auto"/>
        <w:left w:val="none" w:sz="0" w:space="0" w:color="auto"/>
        <w:bottom w:val="none" w:sz="0" w:space="0" w:color="auto"/>
        <w:right w:val="none" w:sz="0" w:space="0" w:color="auto"/>
      </w:divBdr>
    </w:div>
    <w:div w:id="1415782924">
      <w:bodyDiv w:val="1"/>
      <w:marLeft w:val="0"/>
      <w:marRight w:val="0"/>
      <w:marTop w:val="0"/>
      <w:marBottom w:val="0"/>
      <w:divBdr>
        <w:top w:val="none" w:sz="0" w:space="0" w:color="auto"/>
        <w:left w:val="none" w:sz="0" w:space="0" w:color="auto"/>
        <w:bottom w:val="none" w:sz="0" w:space="0" w:color="auto"/>
        <w:right w:val="none" w:sz="0" w:space="0" w:color="auto"/>
      </w:divBdr>
    </w:div>
    <w:div w:id="1422216195">
      <w:bodyDiv w:val="1"/>
      <w:marLeft w:val="0"/>
      <w:marRight w:val="0"/>
      <w:marTop w:val="0"/>
      <w:marBottom w:val="0"/>
      <w:divBdr>
        <w:top w:val="none" w:sz="0" w:space="0" w:color="auto"/>
        <w:left w:val="none" w:sz="0" w:space="0" w:color="auto"/>
        <w:bottom w:val="none" w:sz="0" w:space="0" w:color="auto"/>
        <w:right w:val="none" w:sz="0" w:space="0" w:color="auto"/>
      </w:divBdr>
    </w:div>
    <w:div w:id="1449860926">
      <w:bodyDiv w:val="1"/>
      <w:marLeft w:val="0"/>
      <w:marRight w:val="0"/>
      <w:marTop w:val="0"/>
      <w:marBottom w:val="0"/>
      <w:divBdr>
        <w:top w:val="none" w:sz="0" w:space="0" w:color="auto"/>
        <w:left w:val="none" w:sz="0" w:space="0" w:color="auto"/>
        <w:bottom w:val="none" w:sz="0" w:space="0" w:color="auto"/>
        <w:right w:val="none" w:sz="0" w:space="0" w:color="auto"/>
      </w:divBdr>
    </w:div>
    <w:div w:id="1475442470">
      <w:bodyDiv w:val="1"/>
      <w:marLeft w:val="0"/>
      <w:marRight w:val="0"/>
      <w:marTop w:val="0"/>
      <w:marBottom w:val="0"/>
      <w:divBdr>
        <w:top w:val="none" w:sz="0" w:space="0" w:color="auto"/>
        <w:left w:val="none" w:sz="0" w:space="0" w:color="auto"/>
        <w:bottom w:val="none" w:sz="0" w:space="0" w:color="auto"/>
        <w:right w:val="none" w:sz="0" w:space="0" w:color="auto"/>
      </w:divBdr>
      <w:divsChild>
        <w:div w:id="1090740260">
          <w:marLeft w:val="0"/>
          <w:marRight w:val="0"/>
          <w:marTop w:val="120"/>
          <w:marBottom w:val="120"/>
          <w:divBdr>
            <w:top w:val="none" w:sz="0" w:space="0" w:color="auto"/>
            <w:left w:val="none" w:sz="0" w:space="0" w:color="auto"/>
            <w:bottom w:val="none" w:sz="0" w:space="0" w:color="auto"/>
            <w:right w:val="none" w:sz="0" w:space="0" w:color="auto"/>
          </w:divBdr>
        </w:div>
      </w:divsChild>
    </w:div>
    <w:div w:id="1511993214">
      <w:bodyDiv w:val="1"/>
      <w:marLeft w:val="0"/>
      <w:marRight w:val="0"/>
      <w:marTop w:val="0"/>
      <w:marBottom w:val="0"/>
      <w:divBdr>
        <w:top w:val="none" w:sz="0" w:space="0" w:color="auto"/>
        <w:left w:val="none" w:sz="0" w:space="0" w:color="auto"/>
        <w:bottom w:val="none" w:sz="0" w:space="0" w:color="auto"/>
        <w:right w:val="none" w:sz="0" w:space="0" w:color="auto"/>
      </w:divBdr>
    </w:div>
    <w:div w:id="1538083029">
      <w:bodyDiv w:val="1"/>
      <w:marLeft w:val="0"/>
      <w:marRight w:val="0"/>
      <w:marTop w:val="0"/>
      <w:marBottom w:val="0"/>
      <w:divBdr>
        <w:top w:val="none" w:sz="0" w:space="0" w:color="auto"/>
        <w:left w:val="none" w:sz="0" w:space="0" w:color="auto"/>
        <w:bottom w:val="none" w:sz="0" w:space="0" w:color="auto"/>
        <w:right w:val="none" w:sz="0" w:space="0" w:color="auto"/>
      </w:divBdr>
    </w:div>
    <w:div w:id="1547907483">
      <w:bodyDiv w:val="1"/>
      <w:marLeft w:val="0"/>
      <w:marRight w:val="0"/>
      <w:marTop w:val="0"/>
      <w:marBottom w:val="0"/>
      <w:divBdr>
        <w:top w:val="none" w:sz="0" w:space="0" w:color="auto"/>
        <w:left w:val="none" w:sz="0" w:space="0" w:color="auto"/>
        <w:bottom w:val="none" w:sz="0" w:space="0" w:color="auto"/>
        <w:right w:val="none" w:sz="0" w:space="0" w:color="auto"/>
      </w:divBdr>
      <w:divsChild>
        <w:div w:id="1867865308">
          <w:marLeft w:val="1339"/>
          <w:marRight w:val="0"/>
          <w:marTop w:val="0"/>
          <w:marBottom w:val="0"/>
          <w:divBdr>
            <w:top w:val="none" w:sz="0" w:space="0" w:color="auto"/>
            <w:left w:val="none" w:sz="0" w:space="0" w:color="auto"/>
            <w:bottom w:val="none" w:sz="0" w:space="0" w:color="auto"/>
            <w:right w:val="none" w:sz="0" w:space="0" w:color="auto"/>
          </w:divBdr>
        </w:div>
        <w:div w:id="1419331231">
          <w:marLeft w:val="1339"/>
          <w:marRight w:val="115"/>
          <w:marTop w:val="0"/>
          <w:marBottom w:val="0"/>
          <w:divBdr>
            <w:top w:val="none" w:sz="0" w:space="0" w:color="auto"/>
            <w:left w:val="none" w:sz="0" w:space="0" w:color="auto"/>
            <w:bottom w:val="none" w:sz="0" w:space="0" w:color="auto"/>
            <w:right w:val="none" w:sz="0" w:space="0" w:color="auto"/>
          </w:divBdr>
        </w:div>
        <w:div w:id="262688409">
          <w:marLeft w:val="1339"/>
          <w:marRight w:val="101"/>
          <w:marTop w:val="0"/>
          <w:marBottom w:val="0"/>
          <w:divBdr>
            <w:top w:val="none" w:sz="0" w:space="0" w:color="auto"/>
            <w:left w:val="none" w:sz="0" w:space="0" w:color="auto"/>
            <w:bottom w:val="none" w:sz="0" w:space="0" w:color="auto"/>
            <w:right w:val="none" w:sz="0" w:space="0" w:color="auto"/>
          </w:divBdr>
        </w:div>
        <w:div w:id="1778330966">
          <w:marLeft w:val="1339"/>
          <w:marRight w:val="0"/>
          <w:marTop w:val="0"/>
          <w:marBottom w:val="0"/>
          <w:divBdr>
            <w:top w:val="none" w:sz="0" w:space="0" w:color="auto"/>
            <w:left w:val="none" w:sz="0" w:space="0" w:color="auto"/>
            <w:bottom w:val="none" w:sz="0" w:space="0" w:color="auto"/>
            <w:right w:val="none" w:sz="0" w:space="0" w:color="auto"/>
          </w:divBdr>
        </w:div>
      </w:divsChild>
    </w:div>
    <w:div w:id="1794327124">
      <w:bodyDiv w:val="1"/>
      <w:marLeft w:val="0"/>
      <w:marRight w:val="0"/>
      <w:marTop w:val="0"/>
      <w:marBottom w:val="0"/>
      <w:divBdr>
        <w:top w:val="none" w:sz="0" w:space="0" w:color="auto"/>
        <w:left w:val="none" w:sz="0" w:space="0" w:color="auto"/>
        <w:bottom w:val="none" w:sz="0" w:space="0" w:color="auto"/>
        <w:right w:val="none" w:sz="0" w:space="0" w:color="auto"/>
      </w:divBdr>
    </w:div>
    <w:div w:id="1820228358">
      <w:bodyDiv w:val="1"/>
      <w:marLeft w:val="0"/>
      <w:marRight w:val="0"/>
      <w:marTop w:val="0"/>
      <w:marBottom w:val="0"/>
      <w:divBdr>
        <w:top w:val="none" w:sz="0" w:space="0" w:color="auto"/>
        <w:left w:val="none" w:sz="0" w:space="0" w:color="auto"/>
        <w:bottom w:val="none" w:sz="0" w:space="0" w:color="auto"/>
        <w:right w:val="none" w:sz="0" w:space="0" w:color="auto"/>
      </w:divBdr>
    </w:div>
    <w:div w:id="1844588293">
      <w:bodyDiv w:val="1"/>
      <w:marLeft w:val="0"/>
      <w:marRight w:val="0"/>
      <w:marTop w:val="0"/>
      <w:marBottom w:val="0"/>
      <w:divBdr>
        <w:top w:val="none" w:sz="0" w:space="0" w:color="auto"/>
        <w:left w:val="none" w:sz="0" w:space="0" w:color="auto"/>
        <w:bottom w:val="none" w:sz="0" w:space="0" w:color="auto"/>
        <w:right w:val="none" w:sz="0" w:space="0" w:color="auto"/>
      </w:divBdr>
    </w:div>
    <w:div w:id="2011330104">
      <w:bodyDiv w:val="1"/>
      <w:marLeft w:val="0"/>
      <w:marRight w:val="0"/>
      <w:marTop w:val="0"/>
      <w:marBottom w:val="0"/>
      <w:divBdr>
        <w:top w:val="none" w:sz="0" w:space="0" w:color="auto"/>
        <w:left w:val="none" w:sz="0" w:space="0" w:color="auto"/>
        <w:bottom w:val="none" w:sz="0" w:space="0" w:color="auto"/>
        <w:right w:val="none" w:sz="0" w:space="0" w:color="auto"/>
      </w:divBdr>
      <w:divsChild>
        <w:div w:id="2062169437">
          <w:marLeft w:val="0"/>
          <w:marRight w:val="0"/>
          <w:marTop w:val="120"/>
          <w:marBottom w:val="120"/>
          <w:divBdr>
            <w:top w:val="none" w:sz="0" w:space="0" w:color="auto"/>
            <w:left w:val="none" w:sz="0" w:space="0" w:color="auto"/>
            <w:bottom w:val="none" w:sz="0" w:space="0" w:color="auto"/>
            <w:right w:val="none" w:sz="0" w:space="0" w:color="auto"/>
          </w:divBdr>
        </w:div>
        <w:div w:id="1492865534">
          <w:marLeft w:val="0"/>
          <w:marRight w:val="0"/>
          <w:marTop w:val="120"/>
          <w:marBottom w:val="120"/>
          <w:divBdr>
            <w:top w:val="none" w:sz="0" w:space="0" w:color="auto"/>
            <w:left w:val="none" w:sz="0" w:space="0" w:color="auto"/>
            <w:bottom w:val="none" w:sz="0" w:space="0" w:color="auto"/>
            <w:right w:val="none" w:sz="0" w:space="0" w:color="auto"/>
          </w:divBdr>
        </w:div>
        <w:div w:id="485172224">
          <w:marLeft w:val="0"/>
          <w:marRight w:val="0"/>
          <w:marTop w:val="120"/>
          <w:marBottom w:val="120"/>
          <w:divBdr>
            <w:top w:val="none" w:sz="0" w:space="0" w:color="auto"/>
            <w:left w:val="none" w:sz="0" w:space="0" w:color="auto"/>
            <w:bottom w:val="none" w:sz="0" w:space="0" w:color="auto"/>
            <w:right w:val="none" w:sz="0" w:space="0" w:color="auto"/>
          </w:divBdr>
        </w:div>
        <w:div w:id="726075232">
          <w:marLeft w:val="0"/>
          <w:marRight w:val="0"/>
          <w:marTop w:val="120"/>
          <w:marBottom w:val="120"/>
          <w:divBdr>
            <w:top w:val="none" w:sz="0" w:space="0" w:color="auto"/>
            <w:left w:val="none" w:sz="0" w:space="0" w:color="auto"/>
            <w:bottom w:val="none" w:sz="0" w:space="0" w:color="auto"/>
            <w:right w:val="none" w:sz="0" w:space="0" w:color="auto"/>
          </w:divBdr>
        </w:div>
      </w:divsChild>
    </w:div>
    <w:div w:id="2061587416">
      <w:bodyDiv w:val="1"/>
      <w:marLeft w:val="0"/>
      <w:marRight w:val="0"/>
      <w:marTop w:val="0"/>
      <w:marBottom w:val="0"/>
      <w:divBdr>
        <w:top w:val="none" w:sz="0" w:space="0" w:color="auto"/>
        <w:left w:val="none" w:sz="0" w:space="0" w:color="auto"/>
        <w:bottom w:val="none" w:sz="0" w:space="0" w:color="auto"/>
        <w:right w:val="none" w:sz="0" w:space="0" w:color="auto"/>
      </w:divBdr>
    </w:div>
    <w:div w:id="2108117716">
      <w:bodyDiv w:val="1"/>
      <w:marLeft w:val="0"/>
      <w:marRight w:val="0"/>
      <w:marTop w:val="0"/>
      <w:marBottom w:val="0"/>
      <w:divBdr>
        <w:top w:val="none" w:sz="0" w:space="0" w:color="auto"/>
        <w:left w:val="none" w:sz="0" w:space="0" w:color="auto"/>
        <w:bottom w:val="none" w:sz="0" w:space="0" w:color="auto"/>
        <w:right w:val="none" w:sz="0" w:space="0" w:color="auto"/>
      </w:divBdr>
      <w:divsChild>
        <w:div w:id="70391389">
          <w:marLeft w:val="0"/>
          <w:marRight w:val="0"/>
          <w:marTop w:val="120"/>
          <w:marBottom w:val="120"/>
          <w:divBdr>
            <w:top w:val="none" w:sz="0" w:space="0" w:color="auto"/>
            <w:left w:val="none" w:sz="0" w:space="0" w:color="auto"/>
            <w:bottom w:val="none" w:sz="0" w:space="0" w:color="auto"/>
            <w:right w:val="none" w:sz="0" w:space="0" w:color="auto"/>
          </w:divBdr>
        </w:div>
      </w:divsChild>
    </w:div>
    <w:div w:id="2109232562">
      <w:bodyDiv w:val="1"/>
      <w:marLeft w:val="0"/>
      <w:marRight w:val="0"/>
      <w:marTop w:val="0"/>
      <w:marBottom w:val="0"/>
      <w:divBdr>
        <w:top w:val="none" w:sz="0" w:space="0" w:color="auto"/>
        <w:left w:val="none" w:sz="0" w:space="0" w:color="auto"/>
        <w:bottom w:val="none" w:sz="0" w:space="0" w:color="auto"/>
        <w:right w:val="none" w:sz="0" w:space="0" w:color="auto"/>
      </w:divBdr>
    </w:div>
    <w:div w:id="21203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ariweb.com/finance/forex/usd-to-pkr.aspx" TargetMode="External"/><Relationship Id="rId13" Type="http://schemas.openxmlformats.org/officeDocument/2006/relationships/image" Target="media/image3.gif"/><Relationship Id="rId18" Type="http://schemas.openxmlformats.org/officeDocument/2006/relationships/hyperlink" Target="https://hamariweb.com/finance/forex/kwd-to-pkr.aspx" TargetMode="External"/><Relationship Id="rId26" Type="http://schemas.openxmlformats.org/officeDocument/2006/relationships/hyperlink" Target="https://hamariweb.com/finance/forex/cny-to-pkr.aspx" TargetMode="External"/><Relationship Id="rId39"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s://hamariweb.com/finance/forex/sgd-to-pkr.asp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amariweb.com/finance/forex/gbp-to-pkr.aspx" TargetMode="External"/><Relationship Id="rId17" Type="http://schemas.openxmlformats.org/officeDocument/2006/relationships/image" Target="media/image5.gif"/><Relationship Id="rId25" Type="http://schemas.openxmlformats.org/officeDocument/2006/relationships/image" Target="media/image9.gif"/><Relationship Id="rId33" Type="http://schemas.openxmlformats.org/officeDocument/2006/relationships/image" Target="media/image13.jpeg"/><Relationship Id="rId38" Type="http://schemas.openxmlformats.org/officeDocument/2006/relationships/hyperlink" Target="https://hamariweb.com/finance/forex/sek-to-pkr.aspx" TargetMode="External"/><Relationship Id="rId2" Type="http://schemas.openxmlformats.org/officeDocument/2006/relationships/numbering" Target="numbering.xml"/><Relationship Id="rId16" Type="http://schemas.openxmlformats.org/officeDocument/2006/relationships/hyperlink" Target="https://hamariweb.com/finance/forex/sar-to-pkr.aspx" TargetMode="External"/><Relationship Id="rId20" Type="http://schemas.openxmlformats.org/officeDocument/2006/relationships/hyperlink" Target="https://hamariweb.com/finance/forex/cad-to-pkr.aspx" TargetMode="External"/><Relationship Id="rId29" Type="http://schemas.openxmlformats.org/officeDocument/2006/relationships/image" Target="media/image11.gif"/><Relationship Id="rId41"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hamariweb.com/finance/forex/thb-to-pkr.aspx" TargetMode="External"/><Relationship Id="rId32" Type="http://schemas.openxmlformats.org/officeDocument/2006/relationships/hyperlink" Target="https://hamariweb.com/finance/forex/nzd-to-pkr.aspx" TargetMode="External"/><Relationship Id="rId37" Type="http://schemas.openxmlformats.org/officeDocument/2006/relationships/image" Target="media/image15.jpeg"/><Relationship Id="rId40" Type="http://schemas.openxmlformats.org/officeDocument/2006/relationships/hyperlink" Target="https://hamariweb.com/finance/forex/inr-to-pkr.aspx"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8.gif"/><Relationship Id="rId28" Type="http://schemas.openxmlformats.org/officeDocument/2006/relationships/hyperlink" Target="https://hamariweb.com/finance/forex/hkd-to-pkr.aspx" TargetMode="External"/><Relationship Id="rId36" Type="http://schemas.openxmlformats.org/officeDocument/2006/relationships/hyperlink" Target="https://hamariweb.com/finance/forex/nok-to-pkr.aspx" TargetMode="External"/><Relationship Id="rId10" Type="http://schemas.openxmlformats.org/officeDocument/2006/relationships/hyperlink" Target="https://hamariweb.com/finance/forex/eur-to-pkr.aspx" TargetMode="External"/><Relationship Id="rId19" Type="http://schemas.openxmlformats.org/officeDocument/2006/relationships/image" Target="media/image6.jpeg"/><Relationship Id="rId31" Type="http://schemas.openxmlformats.org/officeDocument/2006/relationships/image" Target="media/image12.gi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hamariweb.com/finance/forex/aed-to-pkr.aspx" TargetMode="External"/><Relationship Id="rId22" Type="http://schemas.openxmlformats.org/officeDocument/2006/relationships/hyperlink" Target="https://hamariweb.com/finance/forex/aud-to-pkr.aspx" TargetMode="External"/><Relationship Id="rId27" Type="http://schemas.openxmlformats.org/officeDocument/2006/relationships/image" Target="media/image10.jpeg"/><Relationship Id="rId30" Type="http://schemas.openxmlformats.org/officeDocument/2006/relationships/hyperlink" Target="https://hamariweb.com/finance/forex/dkk-to-pkr.aspx" TargetMode="External"/><Relationship Id="rId35" Type="http://schemas.openxmlformats.org/officeDocument/2006/relationships/image" Target="media/image14.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0910-104E-4707-901B-55423F09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2020-06-26T09:22:00Z</dcterms:created>
  <dcterms:modified xsi:type="dcterms:W3CDTF">2020-06-26T11:42:00Z</dcterms:modified>
</cp:coreProperties>
</file>