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6"/>
          <w:szCs w:val="36"/>
          <w:u w:val="none"/>
          <w:shd w:val="clear" w:color="auto" w:fill="auto"/>
          <w:vertAlign w:val="baseline"/>
        </w:rPr>
      </w:pPr>
      <w:bookmarkStart w:id="0" w:name="_gjdgxs" w:colFirst="0" w:colLast="0"/>
      <w:bookmarkEnd w:id="0"/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6"/>
          <w:szCs w:val="36"/>
          <w:u w:val="none"/>
          <w:shd w:val="clear" w:color="auto" w:fill="auto"/>
          <w:vertAlign w:val="baseline"/>
        </w:rPr>
        <w:t>Assignment for viva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sz w:val="36"/>
          <w:szCs w:val="36"/>
        </w:rPr>
      </w:pPr>
      <w:r>
        <w:rPr>
          <w:rFonts w:ascii="Times New Roman" w:cs="Times New Roman" w:eastAsia="Times New Roman" w:hAnsi="Times New Roman"/>
          <w:b/>
          <w:sz w:val="36"/>
          <w:szCs w:val="36"/>
        </w:rPr>
        <w:t xml:space="preserve">       Name </w:t>
      </w:r>
      <w:r>
        <w:rPr>
          <w:rFonts w:cs="Times New Roman" w:eastAsia="Times New Roman" w:hAnsi="Times New Roman"/>
          <w:b/>
          <w:sz w:val="36"/>
          <w:szCs w:val="36"/>
          <w:lang w:val="en-US"/>
        </w:rPr>
        <w:t>Malak Saad Khan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sz w:val="36"/>
          <w:szCs w:val="36"/>
        </w:rPr>
      </w:pPr>
      <w:r>
        <w:rPr>
          <w:rFonts w:ascii="Times New Roman" w:cs="Times New Roman" w:eastAsia="Times New Roman" w:hAnsi="Times New Roman"/>
          <w:b/>
          <w:sz w:val="36"/>
          <w:szCs w:val="36"/>
        </w:rPr>
        <w:t xml:space="preserve">          I'd 168</w:t>
      </w:r>
      <w:r>
        <w:rPr>
          <w:rFonts w:cs="Times New Roman" w:eastAsia="Times New Roman" w:hAnsi="Times New Roman"/>
          <w:b/>
          <w:sz w:val="36"/>
          <w:szCs w:val="36"/>
          <w:lang w:val="en-US"/>
        </w:rPr>
        <w:t>72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sz w:val="36"/>
          <w:szCs w:val="36"/>
        </w:rPr>
      </w:pPr>
      <w:r>
        <w:rPr>
          <w:rFonts w:ascii="Times New Roman" w:cs="Times New Roman" w:eastAsia="Times New Roman" w:hAnsi="Times New Roman"/>
          <w:b/>
          <w:sz w:val="36"/>
          <w:szCs w:val="36"/>
        </w:rPr>
        <w:t xml:space="preserve">      Assignment microbiology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sz w:val="36"/>
          <w:szCs w:val="36"/>
        </w:rPr>
      </w:pPr>
      <w:r>
        <w:rPr>
          <w:rFonts w:ascii="Times New Roman" w:cs="Times New Roman" w:eastAsia="Times New Roman" w:hAnsi="Times New Roman"/>
          <w:b/>
          <w:sz w:val="36"/>
          <w:szCs w:val="36"/>
        </w:rPr>
        <w:t xml:space="preserve">    Semester 2nd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Q1. Write the names and function of different equipments used in    microbiology la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b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Ans ; microbiology equipment. Include microscopes, slide, test tube, petridishes, growth mediums, both solid and liquid;inoculations loops, pipettes and tips' incubators' autoclaves and laminar flow hoods.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Q2. What are the different chemical and physical methods of sterilization and disinfection?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Ans ; sterilization mathods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physical methods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Most heat in autoclave.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Dry heat in ovens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. Gamma irradiation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. Filtration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. Plasma sterilization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chemical methods: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      . EThylene oxide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Glutaraldehy (high concentration)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Disnifiction method;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       physical methods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Boiling and pasteurisation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. UV radiation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chemical agents: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  . Alcohols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. Aldehydes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Helogens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. Phenols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Surfactants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Heavy metals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Dyes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Oxidants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                 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                      The End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540" w:right="0" w:hanging="5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. </w:t>
      </w:r>
    </w:p>
    <w:sectPr>
      <w:pgSz w:w="12240" w:h="15840" w:orient="portrait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 w:line="259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131</Words>
  <Characters>755</Characters>
  <Application>WPS Office</Application>
  <Paragraphs>35</Paragraphs>
  <CharactersWithSpaces>959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2020-07-11T18:25:07Z</dcterms:created>
  <dc:creator>WPS Office</dc:creator>
  <lastModifiedBy>SM-A705FN</lastModifiedBy>
  <dcterms:modified xsi:type="dcterms:W3CDTF">2020-07-11T18:25:07Z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