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  <w:t xml:space="preserve">Name : Zohra Abdullah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  <w:t>Id : 16760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  <w:t xml:space="preserve">Program: DPT 2nd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  <w:t xml:space="preserve">Semester : 2nd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  <w:highlight w:val="yellow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bCs/>
          <w:color w:val="auto"/>
          <w:position w:val="0"/>
          <w:sz w:val="72"/>
          <w:szCs w:val="72"/>
          <w:highlight w:val="none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72"/>
          <w:szCs w:val="72"/>
          <w:highlight w:val="none"/>
        </w:rPr>
        <w:t>Q 1: Explain “ Biomechanics of Articular cartilage ”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  <w:t xml:space="preserve">Answer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   Articular cartilage is a thin layer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specialized connective  tissue with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unique viscoelastic properties .its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Principal function is to provide as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smooth ,lubricated surface for low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friction articulation and to facilities the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transmission of loads to the underlying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subchondral bone.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Style w:val="style4097"/>
          <w:rFonts w:hint="default"/>
          <w:sz w:val="72"/>
          <w:szCs w:val="72"/>
          <w:u w:val="single"/>
        </w:rPr>
        <w:t>Function of articular cartilage</w:t>
      </w: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: 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Distributes joint load over a wide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area , decreasing the stresses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sustained by the contacting joint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surface .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Allow relative movement of the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opposing joint surface with minimal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friction and wear.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Minimize peak stresses 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subchondral bone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Surface roll or side during motion</w:t>
      </w:r>
    </w:p>
    <w:p>
      <w:pPr>
        <w:pStyle w:val="style179"/>
        <w:numPr>
          <w:ilvl w:val="0"/>
          <w:numId w:val="1"/>
        </w:numPr>
        <w:autoSpaceDE/>
        <w:autoSpaceDN/>
        <w:bidi w:val="false"/>
        <w:spacing w:before="0" w:after="160" w:lineRule="auto" w:line="259"/>
        <w:ind w:left="110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Provide   a friction reducing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weight bearing surface with friction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coefficient of 0.0025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Function within a contact pressure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range 2- 11 MPa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Type of cartilage: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740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tbl>
      <w:tblPr>
        <w:tblStyle w:val="style154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10"/>
        <w:gridCol w:w="3246"/>
        <w:gridCol w:w="3105"/>
      </w:tblGrid>
      <w:tr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Type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Appearance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Location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Hyaline 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Glassy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smooth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Covers long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bones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growth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plates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Fibro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Dense 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Inter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vertebral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disk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meniscus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Elastic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Yellow 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opaque</w:t>
            </w:r>
          </w:p>
        </w:tc>
        <w:tc>
          <w:tcPr>
            <w:tcW w:w="3117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contextualSpacing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Epiglottis,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eustachian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tube.</w:t>
            </w:r>
          </w:p>
        </w:tc>
      </w:tr>
    </w:tbl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Biomechanics composition of articular </w:t>
      </w: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cartilage: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Extracellular matrix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Proteoglycan   (5-10℅)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 (10-20℅) type I </w:t>
      </w:r>
    </w:p>
    <w:p>
      <w:pPr>
        <w:pStyle w:val="style179"/>
        <w:numPr>
          <w:ilvl w:val="0"/>
          <w:numId w:val="2"/>
        </w:numPr>
        <w:autoSpaceDE/>
        <w:autoSpaceDN/>
        <w:bidi w:val="false"/>
        <w:spacing w:before="0" w:after="160" w:lineRule="auto" w:line="259"/>
        <w:ind w:left="1358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Water , (68- 85℅)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</w:rPr>
        <w:t xml:space="preserve">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 Martial properties of articular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cartilage depend on its extracellular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matrix ,but the existence and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maintenance of matrix depend on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chondrocytes.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_________________________________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</w:rPr>
        <w:t>Q 2 : Explain “ Biomechanics of Tendon and Ligament</w:t>
      </w:r>
      <w:r>
        <w:rPr>
          <w:rFonts w:ascii="Calibri" w:eastAsia="Calibri" w:hAnsi="Calibri" w:hint="default"/>
          <w:b/>
          <w:bCs/>
          <w:color w:val="auto"/>
          <w:position w:val="0"/>
          <w:sz w:val="96"/>
          <w:szCs w:val="96"/>
          <w:highlight w:val="none"/>
          <w:lang w:val="en-US"/>
        </w:rPr>
        <w:t>s?</w:t>
      </w: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Tendon :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connect muscle to bone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consists of bundle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collagenous fiber arrange in parallel 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Origin at muscle , crosses at least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one joint and insert in bone</w:t>
      </w:r>
    </w:p>
    <w:p>
      <w:pPr>
        <w:pStyle w:val="style179"/>
        <w:numPr>
          <w:ilvl w:val="0"/>
          <w:numId w:val="3"/>
        </w:numPr>
        <w:autoSpaceDE/>
        <w:autoSpaceDN/>
        <w:bidi w:val="false"/>
        <w:spacing w:before="0" w:after="160" w:lineRule="auto" w:line="259"/>
        <w:ind w:left="84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Offer greater tensile strength .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482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482"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Ligament :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Ligament connect bone to bone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Ligament consist mostly of bundle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of elastin molecule formed into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elastic fiber with some bundle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collagen .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Origins and insert into bone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More elastic and flexible than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</w:t>
      </w:r>
    </w:p>
    <w:p>
      <w:pPr>
        <w:pStyle w:val="style179"/>
        <w:numPr>
          <w:ilvl w:val="0"/>
          <w:numId w:val="4"/>
        </w:numPr>
        <w:autoSpaceDE/>
        <w:autoSpaceDN/>
        <w:bidi w:val="false"/>
        <w:spacing w:before="0" w:after="160" w:lineRule="auto" w:line="259"/>
        <w:ind w:left="1202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Offer less tensile strength.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>Composition :</w:t>
      </w:r>
    </w:p>
    <w:tbl>
      <w:tblPr>
        <w:tblStyle w:val="style154"/>
        <w:tblW w:w="100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Component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Ligament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Tendon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Fibroblast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water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60-80℅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60-80℅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Solids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20-40℅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20-40℅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Collagen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70-80℅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Slightly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higher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Type l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90℅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95-99℅</w:t>
            </w:r>
          </w:p>
        </w:tc>
      </w:tr>
      <w:tr>
        <w:tblPrEx/>
        <w:trPr>
          <w:trHeight w:val="77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Elastin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Up to 2x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collagen 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Scarce </w:t>
            </w:r>
          </w:p>
        </w:tc>
      </w:tr>
      <w:tr>
        <w:tblPrEx/>
        <w:trPr>
          <w:trHeight w:val="798" w:hRule="atLeast"/>
        </w:trPr>
        <w:tc>
          <w:tcPr>
            <w:tcW w:w="3349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 xml:space="preserve">Ground </w:t>
            </w: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substance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20-30℅</w:t>
            </w:r>
          </w:p>
        </w:tc>
        <w:tc>
          <w:tcPr>
            <w:tcW w:w="3350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autoSpaceDE/>
              <w:autoSpaceDN/>
              <w:spacing w:before="0" w:after="0" w:lineRule="auto" w:line="240"/>
              <w:ind w:right="0" w:firstLine="0"/>
              <w:jc w:val="left"/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</w:pPr>
            <w:r>
              <w:rPr>
                <w:rFonts w:ascii="Calibri" w:eastAsia="Calibri" w:hAnsi="Calibri" w:hint="default"/>
                <w:color w:val="auto"/>
                <w:position w:val="0"/>
                <w:sz w:val="56"/>
                <w:szCs w:val="56"/>
              </w:rPr>
              <w:t>Slightly lesser</w:t>
            </w:r>
          </w:p>
        </w:tc>
      </w:tr>
    </w:tbl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 Anatomical position of tendon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  Tendon: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collagen fibrils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Type 1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a proteoglycan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matrix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contain fibroblasts that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are arranged in parallel rows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72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Type 1 collagen :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86℅ of tendon dry weight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Glycine (33℅ )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Proline (15 ℅ ) </w:t>
      </w:r>
    </w:p>
    <w:p>
      <w:pPr>
        <w:pStyle w:val="style179"/>
        <w:numPr>
          <w:ilvl w:val="0"/>
          <w:numId w:val="6"/>
        </w:numPr>
        <w:autoSpaceDE/>
        <w:autoSpaceDN/>
        <w:bidi w:val="false"/>
        <w:spacing w:before="0" w:after="160" w:lineRule="auto" w:line="259"/>
        <w:ind w:left="72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Hydroxyproline (15℅)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360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Anatomical position of ligament : 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left="360" w:right="0" w:firstLine="0"/>
        <w:jc w:val="left"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Similar to tendon in hierarchical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structure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Collagen fibrils are slightly less in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volume fraction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Higher percentage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proteoglycan matrix than tendon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Fibroblasts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Function: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Tendon :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Tendon carry tensile force from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muscle to bone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They carry compressive force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when wrapped around bone like a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pulley.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They facilities skeletal muscle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movement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Propriception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Secondary function : storage of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energy </w:t>
      </w:r>
    </w:p>
    <w:p>
      <w:pPr>
        <w:pStyle w:val="style179"/>
        <w:numPr>
          <w:ilvl w:val="0"/>
          <w:numId w:val="0"/>
        </w:numPr>
        <w:autoSpaceDE/>
        <w:autoSpaceDN/>
        <w:spacing w:before="0" w:after="160" w:lineRule="auto" w:line="259"/>
        <w:ind w:left="1080" w:right="0" w:firstLine="0"/>
        <w:jc w:val="left"/>
        <w:contextualSpacing/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</w:pPr>
      <w:r>
        <w:rPr>
          <w:rFonts w:ascii="Calibri" w:eastAsia="Calibri" w:hAnsi="Calibri" w:hint="default"/>
          <w:b/>
          <w:color w:val="auto"/>
          <w:position w:val="0"/>
          <w:sz w:val="56"/>
          <w:szCs w:val="56"/>
          <w:u w:val="single"/>
        </w:rPr>
        <w:t xml:space="preserve">Ligament :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It maintain correct bone and join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geometry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Ligament + associated joint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capsule combinely functions as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passive joint stabilizer </w:t>
      </w:r>
    </w:p>
    <w:p>
      <w:pPr>
        <w:pStyle w:val="style179"/>
        <w:numPr>
          <w:ilvl w:val="0"/>
          <w:numId w:val="10"/>
        </w:numPr>
        <w:autoSpaceDE/>
        <w:autoSpaceDN/>
        <w:bidi w:val="false"/>
        <w:spacing w:before="0" w:after="160" w:lineRule="auto" w:line="259"/>
        <w:ind w:left="1080" w:right="0" w:hanging="360"/>
        <w:jc w:val="left"/>
        <w:contextualSpacing/>
        <w:rPr>
          <w:rFonts w:ascii="Calibri" w:eastAsia="Calibri" w:hAnsi="Calibri" w:hint="default"/>
          <w:color w:val="auto"/>
          <w:position w:val="0"/>
          <w:sz w:val="56"/>
          <w:szCs w:val="56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Secondary function: </w:t>
      </w: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>proprioception.</w:t>
      </w:r>
    </w:p>
    <w:p>
      <w:pPr>
        <w:pStyle w:val="style0"/>
        <w:numPr>
          <w:ilvl w:val="0"/>
          <w:numId w:val="0"/>
        </w:numPr>
        <w:autoSpaceDE/>
        <w:autoSpaceDN/>
        <w:spacing w:before="0" w:after="160" w:lineRule="auto" w:line="259"/>
        <w:ind w:right="0" w:firstLine="0"/>
        <w:jc w:val="left"/>
        <w:rPr>
          <w:rFonts w:ascii="Arial" w:eastAsia="Arial" w:hAnsi="Arial" w:hint="default"/>
          <w:color w:val="auto"/>
          <w:position w:val="0"/>
          <w:sz w:val="20"/>
          <w:szCs w:val="20"/>
        </w:rPr>
      </w:pPr>
      <w:r>
        <w:rPr>
          <w:rFonts w:ascii="Calibri" w:eastAsia="Calibri" w:hAnsi="Calibri" w:hint="default"/>
          <w:color w:val="auto"/>
          <w:position w:val="0"/>
          <w:sz w:val="56"/>
          <w:szCs w:val="56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pgNumType w:fmt="decimal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f0502020000030204"/>
    <w:charset w:val="00"/>
    <w:family w:val="auto"/>
    <w:pitch w:val="variable"/>
    <w:sig w:usb0="A00002EF" w:usb1="4000207B" w:usb2="00000000" w:usb3="00000000" w:csb0="FFFFFFFF" w:csb1="00000000"/>
  </w:font>
  <w:font w:name="Wingdings">
    <w:altName w:val="Wingdings"/>
    <w:panose1 w:val="020f0502020000030204"/>
    <w:charset w:val="00"/>
    <w:family w:val="auto"/>
    <w:pitch w:val="variable"/>
    <w:sig w:usb0="A00002EF" w:usb1="4000207B" w:usb2="00000000" w:usb3="00000000" w:csb0="FFFFFFFF" w:csb1="00000000"/>
  </w:font>
  <w:font w:name="Times New Roman">
    <w:altName w:val="Times New Roman"/>
    <w:panose1 w:val="020f0502020000030204"/>
    <w:charset w:val="00"/>
    <w:family w:val="auto"/>
    <w:pitch w:val="variable"/>
    <w:sig w:usb0="A00002EF" w:usb1="4000207B" w:usb2="00000000" w:usb3="00000000" w:csb0="FFFFFFFF" w:csb1="00000000"/>
  </w:font>
  <w:font w:name="Courier New">
    <w:altName w:val="Courier New"/>
    <w:panose1 w:val="020f0502020000030204"/>
    <w:charset w:val="00"/>
    <w:family w:val="auto"/>
    <w:pitch w:val="variable"/>
    <w:sig w:usb0="A00002EF" w:usb1="4000207B" w:usb2="00000000" w:usb3="00000000" w:csb0="FFFFFFFF" w:csb1="00000000"/>
  </w:font>
  <w:font w:name="Symbol">
    <w:altName w:val="Symbol"/>
    <w:panose1 w:val="020f0502020000030204"/>
    <w:charset w:val="00"/>
    <w:family w:val="auto"/>
    <w:pitch w:val="variable"/>
    <w:sig w:usb0="A00002EF" w:usb1="4000207B" w:usb2="00000000" w:usb3="00000000" w:csb0="FFFFFFFF" w:csb1="00000000"/>
  </w:font>
  <w:font w:name="Calibri">
    <w:altName w:val="Calibri"/>
    <w:panose1 w:val="020f0502020000030204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C5A2B3"/>
    <w:lvl w:ilvl="0">
      <w:start w:val="1"/>
      <w:numFmt w:val="bullet"/>
      <w:lvlText w:val="Ø"/>
      <w:lvlJc w:val="left"/>
      <w:pPr>
        <w:ind w:left="20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7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35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42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9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56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63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71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8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383D91E3"/>
    <w:lvl w:ilvl="0">
      <w:start w:val="1"/>
      <w:numFmt w:val="bullet"/>
      <w:lvlText w:val="Ø"/>
      <w:lvlJc w:val="left"/>
      <w:pPr>
        <w:ind w:left="8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56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28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00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7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4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1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8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6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511E4C34"/>
    <w:lvl w:ilvl="0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5219A439"/>
    <w:lvl w:ilvl="0">
      <w:start w:val="1"/>
      <w:numFmt w:val="bullet"/>
      <w:lvlText w:val="Ø"/>
      <w:lvlJc w:val="left"/>
      <w:pPr>
        <w:ind w:left="15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3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74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5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9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62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34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59586E28"/>
    <w:lvl w:ilvl="0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2BA4AE7F"/>
    <w:lvl w:ilvl="0">
      <w:start w:val="1"/>
      <w:numFmt w:val="bullet"/>
      <w:lvlText w:val="Ø"/>
      <w:lvlJc w:val="left"/>
      <w:pPr>
        <w:ind w:left="12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9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6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3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0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8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52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24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96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34744A25"/>
    <w:lvl w:ilvl="0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502AAC76"/>
    <w:lvl w:ilvl="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30C70F94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42743E66"/>
    <w:lvl w:ilvl="0">
      <w:start w:val="1"/>
      <w:numFmt w:val="bullet"/>
      <w:lvlText w:val="Ø"/>
      <w:lvlJc w:val="left"/>
      <w:pPr>
        <w:ind w:left="11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8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5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2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9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7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4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1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8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5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w w:val="100"/>
        <w:sz w:val="22"/>
        <w:szCs w:val="22"/>
        <w:shd w:val="clear" w:color="auto" w:fill="auto"/>
      </w:rPr>
    </w:rPrDefault>
    <w:pPrDefault>
      <w:pPr>
        <w:widowControl/>
        <w:wordWrap/>
        <w:autoSpaceDE/>
        <w:autoSpaceDN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7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  <w:style w:type="paragraph" w:styleId="style179">
    <w:name w:val="List Paragraph"/>
    <w:basedOn w:val="style0"/>
    <w:next w:val="style179"/>
    <w:qFormat/>
    <w:uiPriority w:val="26"/>
    <w:pPr>
      <w:widowControl/>
      <w:wordWrap/>
      <w:autoSpaceDE/>
      <w:autoSpaceDN/>
      <w:ind w:left="720" w:firstLine="0"/>
    </w:pPr>
    <w:rPr/>
  </w:style>
  <w:style w:type="table" w:styleId="style154">
    <w:name w:val="Table Grid"/>
    <w:basedOn w:val="style105"/>
    <w:next w:val="style154"/>
    <w:uiPriority w:val="38"/>
    <w:pPr>
      <w:widowControl/>
      <w:wordWrap/>
      <w:autoSpaceDE/>
      <w:autoSpaceDN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1d688313-84cc-4360-a143-74f25d23fef9"/>
    <w:basedOn w:val="style65"/>
    <w:next w:val="style4097"/>
    <w:link w:val="style1"/>
    <w:uiPriority w:val="9"/>
    <w:rPr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447</Words>
  <Pages>11</Pages>
  <Characters>2528</Characters>
  <Application>WPS Office</Application>
  <DocSecurity>0</DocSecurity>
  <Paragraphs>121</Paragraphs>
  <ScaleCrop>false</ScaleCrop>
  <LinksUpToDate>false</LinksUpToDate>
  <CharactersWithSpaces>2940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2020-06-13T05:45:46Z</dcterms:created>
  <dc:creator>Polaris Office</dc:creator>
  <lastModifiedBy>TECNO KC3</lastModifiedBy>
  <dcterms:modified xsi:type="dcterms:W3CDTF">2020-06-17T09:08:33Z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