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-287659</wp:posOffset>
            </wp:positionH>
            <wp:positionV relativeFrom="paragraph">
              <wp:posOffset>-5</wp:posOffset>
            </wp:positionV>
            <wp:extent cx="6335395" cy="14984730"/>
            <wp:effectExtent l="0" t="0" r="8255" b="7620"/>
            <wp:wrapTopAndBottom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6/polarisSave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498536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Q 1: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Explain “ Biomechanics of Articular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cartilage 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Answer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   Articular cartilage is a thin layer of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specialized connective  tissue with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unique viscoelastic properties .its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Principal function is to provide as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smooth ,lubricated surface for low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friction articulation and to facilities the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transmission of loads to the underlying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subchondral bone.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Function of articular cartilage: 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110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Distributes joint load over a wide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area , decreasing the stresses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sustained by the contacting joint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surface .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110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Allow relative movement of the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opposing joint surface with minimal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friction and wear.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110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Minimize peak stresses on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subchondral bone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110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Surface roll or side during motion</w:t>
      </w:r>
    </w:p>
    <w:p>
      <w:pPr>
        <w:pStyle w:val="PO26"/>
        <w:bidi w:val="0"/>
        <w:numPr>
          <w:ilvl w:val="0"/>
          <w:numId w:val="1"/>
        </w:numPr>
        <w:jc w:val="left"/>
        <w:spacing w:lineRule="auto" w:line="259" w:before="0" w:after="160"/>
        <w:contextualSpacing w:val="1"/>
        <w:ind w:left="110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Provide   a friction reducing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weight bearing surface with friction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coefficient of 0.0025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40"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Function within a contact pressure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range 2- 11 MPa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40"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740"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Type of cartilage: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740"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3116"/>
        <w:gridCol w:w="3117"/>
        <w:gridCol w:w="31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3116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Type</w:t>
            </w:r>
          </w:p>
        </w:tc>
        <w:tc>
          <w:tcPr>
            <w:tcW w:type="dxa" w:w="311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Appearance</w:t>
            </w:r>
          </w:p>
        </w:tc>
        <w:tc>
          <w:tcPr>
            <w:tcW w:type="dxa" w:w="3117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Location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31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Hyaline </w:t>
            </w:r>
          </w:p>
        </w:tc>
        <w:tc>
          <w:tcPr>
            <w:tcW w:type="dxa" w:w="3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Glassy ,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smooth</w:t>
            </w:r>
          </w:p>
        </w:tc>
        <w:tc>
          <w:tcPr>
            <w:tcW w:type="dxa" w:w="3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Covers long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bones ,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growth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plates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3116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Fibro</w:t>
            </w:r>
          </w:p>
        </w:tc>
        <w:tc>
          <w:tcPr>
            <w:tcW w:type="dxa" w:w="3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Dense </w:t>
            </w:r>
          </w:p>
        </w:tc>
        <w:tc>
          <w:tcPr>
            <w:tcW w:type="dxa" w:w="3117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Inter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vertebral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disk ,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meniscus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3116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Elastic</w:t>
            </w:r>
          </w:p>
        </w:tc>
        <w:tc>
          <w:tcPr>
            <w:tcW w:type="dxa" w:w="3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Yellow ,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opaque</w:t>
            </w:r>
          </w:p>
        </w:tc>
        <w:tc>
          <w:tcPr>
            <w:tcW w:type="dxa" w:w="3117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top"/>
          </w:tcPr>
          <w:p>
            <w:pPr>
              <w:pStyle w:val="PO26"/>
              <w:numPr>
                <w:ilvl w:val="0"/>
                <w:numId w:val="0"/>
              </w:numPr>
              <w:jc w:val="left"/>
              <w:spacing w:lineRule="auto" w:line="240" w:before="0" w:after="0"/>
              <w:contextualSpacing w:val="1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Epiglottis,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eustachian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tube.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Biomechanics composition of articular </w:t>
      </w: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cartilage: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358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Extracellular matrix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358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Proteoglycan   (5-10℅)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358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Collagen (10-20℅) type I </w:t>
      </w:r>
    </w:p>
    <w:p>
      <w:pPr>
        <w:pStyle w:val="PO26"/>
        <w:bidi w:val="0"/>
        <w:numPr>
          <w:ilvl w:val="0"/>
          <w:numId w:val="2"/>
        </w:numPr>
        <w:jc w:val="left"/>
        <w:spacing w:lineRule="auto" w:line="259" w:before="0" w:after="160"/>
        <w:contextualSpacing w:val="1"/>
        <w:ind w:left="1358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Water , (68- 85℅)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The Martial properties of articular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cartilage depend on its extracellular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matrix ,but the existence and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maintenance of matrix depend on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>chondrocytes.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>_________________________________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Q 2 : Explain “ Biomechanics of Tendon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and Ligament”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 Introduction of Tendon and ligament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Tendon : 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84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connect muscle to bone 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84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consists of bundle of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collagenous fiber arrange in parallel 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84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Origin at muscle , crosses at least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one joint and insert in bone</w:t>
      </w:r>
    </w:p>
    <w:p>
      <w:pPr>
        <w:pStyle w:val="PO26"/>
        <w:bidi w:val="0"/>
        <w:numPr>
          <w:ilvl w:val="0"/>
          <w:numId w:val="3"/>
        </w:numPr>
        <w:jc w:val="left"/>
        <w:spacing w:lineRule="auto" w:line="259" w:before="0" w:after="160"/>
        <w:contextualSpacing w:val="1"/>
        <w:ind w:left="84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Offer greater tensile strength .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482"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left="482"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Ligament : 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left="120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Ligament connect bone to bone 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left="120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Ligament consist mostly of bundle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of elastin molecule formed into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elastic fiber with some bundle of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collagen .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left="120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Origins and insert into bone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left="120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More elastic and flexible than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</w:t>
      </w:r>
    </w:p>
    <w:p>
      <w:pPr>
        <w:pStyle w:val="PO26"/>
        <w:bidi w:val="0"/>
        <w:numPr>
          <w:ilvl w:val="0"/>
          <w:numId w:val="4"/>
        </w:numPr>
        <w:jc w:val="left"/>
        <w:spacing w:lineRule="auto" w:line="259" w:before="0" w:after="160"/>
        <w:contextualSpacing w:val="1"/>
        <w:ind w:left="1202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Offer less tensile strength.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Composition :</w:t>
      </w:r>
    </w:p>
    <w:tbl>
      <w:tblID w:val="0"/>
      <w:tblPr>
        <w:tblStyle w:val="PO38"/>
        <w:tblCellMar>
          <w:left w:w="108" w:type="dxa"/>
          <w:top w:w="0" w:type="dxa"/>
          <w:right w:w="108" w:type="dxa"/>
          <w:bottom w:w="0" w:type="dxa"/>
        </w:tblCellMar>
        <w:tblW w:w="10049" w:type="dxa"/>
        <w:tblLook w:val="0004A0" w:firstRow="1" w:lastRow="0" w:firstColumn="1" w:lastColumn="0" w:noHBand="0" w:noVBand="1"/>
        <w:tblLayout w:type="fixed"/>
      </w:tblPr>
      <w:tblGrid>
        <w:gridCol w:w="3349"/>
        <w:gridCol w:w="3350"/>
        <w:gridCol w:w="3350"/>
      </w:tblGrid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Component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Ligament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Tendon</w:t>
            </w:r>
          </w:p>
        </w:tc>
      </w:tr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Fibroblast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20℅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20℅</w:t>
            </w:r>
          </w:p>
        </w:tc>
      </w:tr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water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60-80℅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60-80℅</w:t>
            </w:r>
          </w:p>
        </w:tc>
      </w:tr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Solids 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20-40℅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20-40℅</w:t>
            </w:r>
          </w:p>
        </w:tc>
      </w:tr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Collagen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70-80℅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Slightly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higher</w:t>
            </w:r>
          </w:p>
        </w:tc>
      </w:tr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Type l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90℅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95-99℅</w:t>
            </w:r>
          </w:p>
        </w:tc>
      </w:tr>
      <w:tr>
        <w:trPr>
          <w:trHeight w:hRule="atleast" w:val="77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Elastin 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Up to 2x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collagen 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Scarce </w:t>
            </w:r>
          </w:p>
        </w:tc>
      </w:tr>
      <w:tr>
        <w:trPr>
          <w:trHeight w:hRule="atleast" w:val="798"/>
          <w:hidden w:val="0"/>
        </w:trPr>
        <w:tc>
          <w:tcPr>
            <w:tcW w:type="dxa" w:w="3349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Ground </w:t>
            </w: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substance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>20-30℅</w:t>
            </w:r>
          </w:p>
        </w:tc>
        <w:tc>
          <w:tcPr>
            <w:tcW w:type="dxa" w:w="3350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56"/>
                <w:szCs w:val="56"/>
                <w:rFonts w:ascii="Calibri" w:eastAsia="Calibri" w:hAnsi="Calibri" w:hint="default"/>
              </w:rPr>
              <w:t xml:space="preserve">Slightly lesser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 Anatomical position of tendon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  Tendon: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contain collagen fibrils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Type 1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contain a proteoglycan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matrix 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contain fibroblasts that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are arranged in parallel rows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720"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Type 1 collagen : 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86℅ of tendon dry weight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Glycine (33℅ )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Proline (15 ℅ ) </w:t>
      </w:r>
    </w:p>
    <w:p>
      <w:pPr>
        <w:pStyle w:val="PO26"/>
        <w:bidi w:val="0"/>
        <w:numPr>
          <w:ilvl w:val="0"/>
          <w:numId w:val="6"/>
        </w:numPr>
        <w:jc w:val="left"/>
        <w:spacing w:lineRule="auto" w:line="259" w:before="0" w:after="160"/>
        <w:contextualSpacing w:val="1"/>
        <w:ind w:left="72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Hydroxyproline (15℅)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Anatomical position of ligament : </w:t>
      </w:r>
    </w:p>
    <w:p>
      <w:pPr>
        <w:numPr>
          <w:ilvl w:val="0"/>
          <w:numId w:val="0"/>
        </w:numPr>
        <w:jc w:val="left"/>
        <w:spacing w:lineRule="auto" w:line="259" w:before="0" w:after="160"/>
        <w:ind w:left="360"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Similar to tendon in hierarchical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>structure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Collagen fibrils are slightly less in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volume fraction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Higher percentage of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proteoglycan matrix than tendon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Fibroblasts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Function: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Tendon :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Tendon carry tensile force from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muscle to bone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They carry compressive force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when wrapped around bone like a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pulley.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They facilities skeletal muscle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movement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>Propriception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Secondary function : storage of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energy </w:t>
      </w:r>
    </w:p>
    <w:p>
      <w:pPr>
        <w:pStyle w:val="PO26"/>
        <w:numPr>
          <w:ilvl w:val="0"/>
          <w:numId w:val="0"/>
        </w:numPr>
        <w:jc w:val="left"/>
        <w:spacing w:lineRule="auto" w:line="259" w:before="0" w:after="160"/>
        <w:contextualSpacing w:val="1"/>
        <w:ind w:left="1080" w:right="0" w:firstLine="0"/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autoSpaceDE w:val="1"/>
        <w:autoSpaceDN w:val="1"/>
      </w:pPr>
      <w:r>
        <w:rPr>
          <w:b w:val="1"/>
          <w:color w:val="auto"/>
          <w:position w:val="0"/>
          <w:sz w:val="56"/>
          <w:szCs w:val="56"/>
          <w:u w:val="single"/>
          <w:rFonts w:ascii="Calibri" w:eastAsia="Calibri" w:hAnsi="Calibri" w:hint="default"/>
        </w:rPr>
        <w:t xml:space="preserve">Ligament :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It maintain correct bone and join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geometry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Ligament + associated joint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capsule combinely functions as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passive joint stabilizer </w:t>
      </w:r>
    </w:p>
    <w:p>
      <w:pPr>
        <w:pStyle w:val="PO26"/>
        <w:bidi w:val="0"/>
        <w:numPr>
          <w:ilvl w:val="0"/>
          <w:numId w:val="10"/>
        </w:numPr>
        <w:jc w:val="left"/>
        <w:spacing w:lineRule="auto" w:line="259" w:before="0" w:after="160"/>
        <w:contextualSpacing w:val="1"/>
        <w:ind w:left="1080" w:right="0" w:hanging="36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Secondary function: </w:t>
      </w: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>proprioception.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56"/>
          <w:szCs w:val="56"/>
          <w:rFonts w:ascii="Calibri" w:eastAsia="Calibri" w:hAnsi="Calibri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column">
              <wp:posOffset>-185425</wp:posOffset>
            </wp:positionH>
            <wp:positionV relativeFrom="paragraph">
              <wp:posOffset>311155</wp:posOffset>
            </wp:positionV>
            <wp:extent cx="5715000" cy="4038600"/>
            <wp:effectExtent l="0" t="0" r="0" b="0"/>
            <wp:wrapTopAndBottom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6/polarisSave/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4039235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56"/>
          <w:szCs w:val="56"/>
          <w:rFonts w:ascii="Calibri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Arial" w:eastAsia="Arial" w:hAnsi="Arial" w:hint="default"/>
        </w:rPr>
        <w:autoSpaceDE w:val="1"/>
        <w:autoSpaceDN w:val="1"/>
      </w:pPr>
      <w:r>
        <w:br w:type="page"/>
      </w: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54C5A2B3"/>
    <w:lvl w:ilvl="0">
      <w:lvlJc w:val="left"/>
      <w:numFmt w:val="bullet"/>
      <w:start w:val="1"/>
      <w:suff w:val="tab"/>
      <w:pPr>
        <w:ind w:left="207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79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51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4238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95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67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6398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711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83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2F000001"/>
    <w:tmpl w:val="383D91E3"/>
    <w:lvl w:ilvl="0">
      <w:lvlJc w:val="left"/>
      <w:numFmt w:val="bullet"/>
      <w:start w:val="1"/>
      <w:suff w:val="tab"/>
      <w:pPr>
        <w:ind w:left="84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562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28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002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722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44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162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882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60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2F000002"/>
    <w:tmpl w:val="511E4C34"/>
    <w:lvl w:ilvl="0">
      <w:lvlJc w:val="left"/>
      <w:numFmt w:val="bullet"/>
      <w:start w:val="1"/>
      <w:suff w:val="tab"/>
      <w:pPr>
        <w:ind w:left="10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8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2F000003"/>
    <w:tmpl w:val="5219A439"/>
    <w:lvl w:ilvl="0">
      <w:lvlJc w:val="left"/>
      <w:numFmt w:val="bullet"/>
      <w:start w:val="1"/>
      <w:suff w:val="tab"/>
      <w:pPr>
        <w:ind w:left="1589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309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3029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749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469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189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909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629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349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2F000004"/>
    <w:tmpl w:val="59586E28"/>
    <w:lvl w:ilvl="0">
      <w:lvlJc w:val="left"/>
      <w:numFmt w:val="bullet"/>
      <w:start w:val="1"/>
      <w:suff w:val="tab"/>
      <w:pPr>
        <w:ind w:left="135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07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79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518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23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95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678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39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11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2F000005"/>
    <w:tmpl w:val="2BA4AE7F"/>
    <w:lvl w:ilvl="0">
      <w:lvlJc w:val="left"/>
      <w:numFmt w:val="bullet"/>
      <w:start w:val="1"/>
      <w:suff w:val="tab"/>
      <w:pPr>
        <w:ind w:left="120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922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64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362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082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80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522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242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962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2F000006"/>
    <w:tmpl w:val="34744A25"/>
    <w:lvl w:ilvl="0">
      <w:lvlJc w:val="left"/>
      <w:numFmt w:val="bullet"/>
      <w:start w:val="1"/>
      <w:suff w:val="tab"/>
      <w:pPr>
        <w:ind w:left="135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207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79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518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23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95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678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398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118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2F000007"/>
    <w:tmpl w:val="502AAC76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2F000008"/>
    <w:tmpl w:val="30C70F94"/>
    <w:lvl w:ilvl="0">
      <w:lvlJc w:val="left"/>
      <w:numFmt w:val="bullet"/>
      <w:start w:val="1"/>
      <w:suff w:val="tab"/>
      <w:pPr>
        <w:ind w:left="7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2F000009"/>
    <w:tmpl w:val="42743E66"/>
    <w:lvl w:ilvl="0">
      <w:lvlJc w:val="left"/>
      <w:numFmt w:val="bullet"/>
      <w:start w:val="1"/>
      <w:suff w:val="tab"/>
      <w:pPr>
        <w:ind w:left="11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82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4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6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8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70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20" w:hanging="360"/>
        <w:jc w:val="both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40" w:hanging="360"/>
        <w:jc w:val="both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60" w:hanging="36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image" Target="media/image2.jpeg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3033</Characters>
  <CharactersWithSpaces>0</CharactersWithSpaces>
  <DocSecurity>0</DocSecurity>
  <HyperlinksChanged>false</HyperlinksChanged>
  <Lines>21</Lines>
  <LinksUpToDate>false</LinksUpToDate>
  <Pages>11</Pages>
  <Paragraphs>6</Paragraphs>
  <Words>453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  <dcterms:modified xsi:type="dcterms:W3CDTF">2020-06-10T09:41:00Z</dcterms:modified>
</cp:coreProperties>
</file>